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tabs>
          <w:tab w:val="left" w:pos="9180"/>
        </w:tabs>
        <w:spacing w:before="312" w:beforeLines="100" w:beforeAutospacing="0" w:afterAutospacing="0" w:line="1320" w:lineRule="exact"/>
        <w:ind w:left="80" w:leftChars="38"/>
        <w:jc w:val="center"/>
        <w:rPr>
          <w:rFonts w:ascii="方正小标宋_GBK" w:hAnsi="方正小标宋_GBK" w:eastAsia="方正小标宋_GBK" w:cs="方正小标宋_GBK"/>
          <w:color w:val="FF0000"/>
          <w:spacing w:val="-20"/>
          <w:w w:val="80"/>
          <w:kern w:val="10"/>
          <w:sz w:val="96"/>
          <w:szCs w:val="96"/>
        </w:rPr>
      </w:pPr>
      <w:r>
        <w:rPr>
          <w:rFonts w:hint="eastAsia" w:ascii="方正小标宋_GBK" w:hAnsi="方正小标宋_GBK" w:eastAsia="方正小标宋_GBK" w:cs="方正小标宋_GBK"/>
          <w:color w:val="FF0000"/>
          <w:spacing w:val="36"/>
          <w:w w:val="90"/>
          <w:kern w:val="10"/>
          <w:sz w:val="96"/>
          <w:szCs w:val="96"/>
        </w:rPr>
        <w:t>赣州市行政审批局</w:t>
      </w:r>
    </w:p>
    <w:p>
      <w:pPr>
        <w:snapToGrid w:val="0"/>
        <w:spacing w:line="440" w:lineRule="exact"/>
        <w:ind w:right="292" w:rightChars="139" w:firstLine="320" w:firstLineChars="100"/>
        <w:jc w:val="right"/>
        <w:rPr>
          <w:rFonts w:hint="eastAsia" w:eastAsia="仿宋_GB2312" w:cs="仿宋_GB2312"/>
          <w:sz w:val="32"/>
          <w:szCs w:val="32"/>
        </w:rPr>
      </w:pPr>
    </w:p>
    <w:p>
      <w:pPr>
        <w:keepNext w:val="0"/>
        <w:keepLines w:val="0"/>
        <w:pageBreakBefore w:val="0"/>
        <w:wordWrap/>
        <w:overflowPunct/>
        <w:topLinePunct w:val="0"/>
        <w:bidi w:val="0"/>
        <w:snapToGrid w:val="0"/>
        <w:spacing w:line="580" w:lineRule="exact"/>
        <w:ind w:right="292" w:rightChars="139" w:firstLine="320" w:firstLineChars="100"/>
        <w:jc w:val="right"/>
        <w:rPr>
          <w:rFonts w:ascii="楷体_GB2312" w:eastAsia="楷体_GB2312" w:cs="楷体_GB2312"/>
          <w:sz w:val="32"/>
          <w:szCs w:val="32"/>
        </w:rPr>
      </w:pPr>
      <w:r>
        <w:rPr>
          <w:rFonts w:hint="eastAsia" w:eastAsia="仿宋_GB2312" w:cs="仿宋_GB2312"/>
          <w:sz w:val="32"/>
          <w:szCs w:val="32"/>
        </w:rPr>
        <w:t xml:space="preserve">  </w:t>
      </w:r>
    </w:p>
    <w:p>
      <w:pPr>
        <w:keepNext w:val="0"/>
        <w:keepLines w:val="0"/>
        <w:pageBreakBefore w:val="0"/>
        <w:wordWrap/>
        <w:overflowPunct/>
        <w:topLinePunct w:val="0"/>
        <w:bidi w:val="0"/>
        <w:snapToGrid w:val="0"/>
        <w:spacing w:line="580" w:lineRule="exact"/>
        <w:ind w:right="292" w:rightChars="139" w:firstLine="118" w:firstLineChars="37"/>
        <w:jc w:val="center"/>
      </w:pPr>
      <w:r>
        <w:rPr>
          <w:rFonts w:hint="eastAsia" w:ascii="仿宋_GB2312" w:eastAsia="仿宋_GB2312" w:cs="仿宋_GB2312"/>
          <w:sz w:val="32"/>
          <w:szCs w:val="32"/>
        </w:rPr>
        <w:t>赣市行审证（1）字〔202</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w:t>
      </w:r>
      <w:r>
        <w:rPr>
          <w:rFonts w:hint="default" w:ascii="仿宋_GB2312" w:eastAsia="仿宋_GB2312" w:cs="仿宋_GB2312"/>
          <w:sz w:val="32"/>
          <w:szCs w:val="32"/>
          <w:lang w:val="en" w:eastAsia="zh-CN"/>
        </w:rPr>
        <w:t>83</w:t>
      </w:r>
      <w:r>
        <w:rPr>
          <w:rFonts w:hint="eastAsia" w:ascii="仿宋_GB2312" w:eastAsia="仿宋_GB2312" w:cs="仿宋_GB2312"/>
          <w:sz w:val="32"/>
          <w:szCs w:val="32"/>
        </w:rPr>
        <w:t>号</w:t>
      </w:r>
    </w:p>
    <w:p>
      <w:pPr>
        <w:keepNext w:val="0"/>
        <w:keepLines w:val="0"/>
        <w:pageBreakBefore w:val="0"/>
        <w:wordWrap/>
        <w:overflowPunct/>
        <w:topLinePunct w:val="0"/>
        <w:bidi w:val="0"/>
        <w:spacing w:line="580" w:lineRule="exact"/>
        <w:jc w:val="center"/>
        <w:rPr>
          <w:rFonts w:ascii="宋体" w:hAnsi="宋体" w:eastAsia="黑体"/>
          <w:b/>
          <w:color w:val="auto"/>
          <w:sz w:val="36"/>
          <w:szCs w:val="36"/>
        </w:rPr>
      </w:pPr>
      <w:r>
        <w:rPr>
          <w:color w:val="FF0000"/>
          <w:sz w:val="36"/>
          <w:szCs w:val="36"/>
        </w:rPr>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43180</wp:posOffset>
                </wp:positionV>
                <wp:extent cx="5600700" cy="0"/>
                <wp:effectExtent l="0" t="13970" r="0" b="14605"/>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8pt;margin-top:3.4pt;height:0pt;width:441pt;z-index:251658240;mso-width-relative:page;mso-height-relative:page;" filled="f" stroked="t" coordsize="21600,21600" o:gfxdata="UEsFBgAAAAAAAAAAAAAAAAAAAAAAAFBLAwQKAAAAAACHTuJAAAAAAAAAAAAAAAAABAAAAGRycy9Q&#10;SwMEFAAAAAgAh07iQAOGMEDUAAAABgEAAA8AAABkcnMvZG93bnJldi54bWxNj81OwzAQhO9IvIO1&#10;SNxapxEKIcSpAMENCTX89OrGSxw1Xkexm6Zvz5YLHEczmvmmXM+uFxOOofOkYLVMQCA13nTUKvh4&#10;f1nkIELUZHTvCRWcMMC6urwodWH8kTY41bEVXEKh0ApsjEMhZWgsOh2WfkBi79uPTkeWYyvNqI9c&#10;7nqZJkkmne6IF6we8Mlis68PTsH8lT/Y7Wt8fPafb3Y/b2s3pSelrq9WyT2IiHP8C8MZn9GhYqad&#10;P5AJolewuMs4qSDjA2znt+kNiN2vllUp/+NXP1BLAwQUAAAACACHTuJA9c/oPNsBAACZAwAADgAA&#10;AGRycy9lMm9Eb2MueG1srVPNjtMwEL4j8Q6W7zTZrrq7ipruYUu5IKgEPMDUdhJL/pPHNO1L8AJI&#10;3ODEkTtvw/IYjN1u2V0uCJHDZMae+Wa+L5P59c4atlURtXctP5vUnCknvNSub/m7t6tnV5xhAifB&#10;eKdavlfIrxdPn8zH0KipH7yRKjICcdiMoeVDSqGpKhSDsoATH5Sjy85HC4nC2Fcywkjo1lTTur6o&#10;Rh9liF4oRDpdHi75ouB3nRLpddehSsy0nGZLxcZiN9lWizk0fYQwaHEcA/5hCgvaUdMT1BISsPdR&#10;/wFltYgefZcmwtvKd50WqnAgNmf1IzZvBgiqcCFxMJxkwv8HK15t15Fp2fJzzhxY+kS3H7/9+PD5&#10;5/dPZG+/fmHnWaQxYEO5N24djxGGdcyMd120+U1c2K4Iuz8Jq3aJCTqcXdT1ZU36i7u76ndhiJhe&#10;KG9ZdlputMucoYHtS0zUjFLvUvKxcWxs+fRqdjkjPKCd6Qwkcm0gFuj6UozeaLnSxuQSjP3mxkS2&#10;BdqC1aqmJ3Mi4AdpucsScDjklavDfgwK5HMnWdoH0sfRIvM8g1WSM6No77NHgNAk0OZvMqm1cblA&#10;lR09Es0iH2TN3sbLfVG7yhF9/zLxcVfzgt2Pyb//Ry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AOGMEDUAAAABgEAAA8AAAAAAAAAAQAgAAAAOAAAAGRycy9kb3ducmV2LnhtbFBLAQIUABQAAAAI&#10;AIdO4kD1z+g82wEAAJkDAAAOAAAAAAAAAAEAIAAAADkBAABkcnMvZTJvRG9jLnhtbFBLBQYAAAAA&#10;BgAGAFkBAACGBQ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关于经开区迎宾110千伏输变电工程</w:t>
      </w: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环境影响报告表的批复</w:t>
      </w: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ascii="Times New Roman" w:hAnsi="Times New Roman" w:eastAsia="仿宋_GB2312" w:cs="Times New Roman"/>
          <w:color w:val="auto"/>
          <w:sz w:val="32"/>
          <w:szCs w:val="32"/>
        </w:rPr>
      </w:pPr>
    </w:p>
    <w:p>
      <w:pPr>
        <w:pStyle w:val="24"/>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eastAsia="仿宋_GB2312"/>
          <w:snapToGrid w:val="0"/>
          <w:color w:val="auto"/>
          <w:spacing w:val="0"/>
          <w:kern w:val="0"/>
          <w:sz w:val="32"/>
          <w:szCs w:val="32"/>
          <w:lang w:val="en-US"/>
        </w:rPr>
      </w:pPr>
      <w:r>
        <w:rPr>
          <w:rFonts w:hint="eastAsia" w:ascii="仿宋_GB2312" w:eastAsia="仿宋_GB2312"/>
          <w:snapToGrid w:val="0"/>
          <w:color w:val="auto"/>
          <w:spacing w:val="0"/>
          <w:kern w:val="0"/>
          <w:sz w:val="32"/>
          <w:szCs w:val="32"/>
          <w:lang w:val="en-US" w:eastAsia="zh-CN"/>
        </w:rPr>
        <w:t>国网江西省电力有限公司赣州供电分公司</w:t>
      </w:r>
      <w:r>
        <w:rPr>
          <w:rFonts w:hint="eastAsia" w:ascii="仿宋_GB2312" w:eastAsia="仿宋_GB2312"/>
          <w:snapToGrid w:val="0"/>
          <w:color w:val="auto"/>
          <w:spacing w:val="0"/>
          <w:kern w:val="0"/>
          <w:sz w:val="32"/>
          <w:szCs w:val="32"/>
          <w:lang w:val="en-US"/>
        </w:rPr>
        <w:t>：</w:t>
      </w:r>
    </w:p>
    <w:p>
      <w:pPr>
        <w:pStyle w:val="24"/>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napToGrid w:val="0"/>
          <w:color w:val="FF0000"/>
          <w:spacing w:val="0"/>
          <w:kern w:val="0"/>
          <w:sz w:val="32"/>
          <w:szCs w:val="32"/>
          <w:lang w:val="en-US" w:eastAsia="zh-CN"/>
        </w:rPr>
      </w:pPr>
      <w:r>
        <w:rPr>
          <w:rFonts w:hint="eastAsia" w:ascii="仿宋_GB2312" w:eastAsia="仿宋_GB2312"/>
          <w:snapToGrid w:val="0"/>
          <w:color w:val="auto"/>
          <w:spacing w:val="0"/>
          <w:kern w:val="0"/>
          <w:sz w:val="32"/>
          <w:szCs w:val="32"/>
        </w:rPr>
        <w:t>你公司《关于</w:t>
      </w:r>
      <w:r>
        <w:rPr>
          <w:rFonts w:hint="eastAsia" w:ascii="仿宋_GB2312" w:eastAsia="仿宋_GB2312"/>
          <w:snapToGrid w:val="0"/>
          <w:color w:val="auto"/>
          <w:spacing w:val="0"/>
          <w:kern w:val="0"/>
          <w:sz w:val="32"/>
          <w:szCs w:val="32"/>
          <w:lang w:val="en-US" w:eastAsia="zh-CN"/>
        </w:rPr>
        <w:t>（经开区迎宾110千伏输变电工程）环评审查的申请》及相关资料</w:t>
      </w:r>
      <w:r>
        <w:rPr>
          <w:rFonts w:hint="eastAsia" w:ascii="仿宋_GB2312" w:eastAsia="仿宋_GB2312"/>
          <w:snapToGrid w:val="0"/>
          <w:color w:val="auto"/>
          <w:spacing w:val="0"/>
          <w:kern w:val="0"/>
          <w:sz w:val="32"/>
          <w:szCs w:val="32"/>
        </w:rPr>
        <w:t>收悉</w:t>
      </w:r>
      <w:r>
        <w:rPr>
          <w:rFonts w:hint="eastAsia" w:ascii="仿宋_GB2312" w:eastAsia="仿宋_GB2312"/>
          <w:snapToGrid w:val="0"/>
          <w:color w:val="auto"/>
          <w:spacing w:val="0"/>
          <w:kern w:val="0"/>
          <w:sz w:val="32"/>
          <w:szCs w:val="32"/>
          <w:lang w:val="en-US" w:eastAsia="zh-CN"/>
        </w:rPr>
        <w:t>。本项目</w:t>
      </w:r>
      <w:r>
        <w:rPr>
          <w:rFonts w:hint="eastAsia" w:ascii="仿宋_GB2312" w:eastAsia="仿宋_GB2312"/>
          <w:snapToGrid w:val="0"/>
          <w:color w:val="auto"/>
          <w:spacing w:val="0"/>
          <w:kern w:val="0"/>
          <w:sz w:val="32"/>
          <w:szCs w:val="32"/>
          <w:lang w:val="en-US"/>
        </w:rPr>
        <w:t>环境影响报告表</w:t>
      </w:r>
      <w:r>
        <w:rPr>
          <w:rFonts w:hint="eastAsia" w:ascii="仿宋_GB2312" w:eastAsia="仿宋_GB2312"/>
          <w:snapToGrid w:val="0"/>
          <w:color w:val="auto"/>
          <w:spacing w:val="0"/>
          <w:kern w:val="0"/>
          <w:sz w:val="32"/>
          <w:szCs w:val="32"/>
          <w:lang w:val="en-US" w:eastAsia="zh-CN"/>
        </w:rPr>
        <w:t>由江西省地质局实验测试大队编制，技术审查评估意见由赣州市华岳环境科技有限公司出具。你公司在全面落实环境影响报告表提出的各项污染防治和风险防范措施、缓解和控制环境不利影响的情况下，结合环境影响报告表和评估意见及专家评审意见，经研究，原则同意本项目环境影响报告表所列建设项目的性质、规模、地点、工艺和环境保护对策措施。具体批复如下：</w:t>
      </w:r>
    </w:p>
    <w:p>
      <w:pPr>
        <w:pStyle w:val="24"/>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eastAsia="黑体"/>
          <w:snapToGrid w:val="0"/>
          <w:color w:val="auto"/>
          <w:spacing w:val="0"/>
          <w:sz w:val="32"/>
          <w:szCs w:val="32"/>
          <w:lang w:val="en-US" w:eastAsia="zh-CN"/>
        </w:rPr>
      </w:pPr>
      <w:r>
        <w:rPr>
          <w:rFonts w:hAnsi="黑体" w:eastAsia="黑体"/>
          <w:snapToGrid w:val="0"/>
          <w:color w:val="auto"/>
          <w:spacing w:val="0"/>
          <w:sz w:val="32"/>
          <w:szCs w:val="32"/>
        </w:rPr>
        <w:t>一、</w:t>
      </w:r>
      <w:r>
        <w:rPr>
          <w:rFonts w:hint="eastAsia" w:hAnsi="黑体" w:eastAsia="黑体"/>
          <w:snapToGrid w:val="0"/>
          <w:color w:val="auto"/>
          <w:spacing w:val="0"/>
          <w:sz w:val="32"/>
          <w:szCs w:val="32"/>
          <w:lang w:val="en-US" w:eastAsia="zh-CN"/>
        </w:rPr>
        <w:t>项目建设主要内容</w:t>
      </w:r>
    </w:p>
    <w:p>
      <w:pPr>
        <w:pStyle w:val="24"/>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auto"/>
          <w:spacing w:val="0"/>
          <w:kern w:val="0"/>
          <w:sz w:val="32"/>
          <w:szCs w:val="32"/>
          <w:lang w:val="en-US" w:eastAsia="zh-CN"/>
        </w:rPr>
      </w:pPr>
      <w:r>
        <w:rPr>
          <w:rFonts w:hint="eastAsia" w:ascii="仿宋_GB2312" w:hAnsi="仿宋_GB2312" w:eastAsia="仿宋_GB2312" w:cs="仿宋_GB2312"/>
          <w:bCs/>
          <w:color w:val="auto"/>
          <w:spacing w:val="0"/>
          <w:kern w:val="0"/>
          <w:sz w:val="32"/>
          <w:szCs w:val="32"/>
        </w:rPr>
        <w:t>项目属于</w:t>
      </w:r>
      <w:r>
        <w:rPr>
          <w:rFonts w:hint="eastAsia" w:ascii="仿宋_GB2312" w:hAnsi="仿宋_GB2312" w:eastAsia="仿宋_GB2312" w:cs="仿宋_GB2312"/>
          <w:bCs/>
          <w:color w:val="auto"/>
          <w:spacing w:val="0"/>
          <w:kern w:val="0"/>
          <w:sz w:val="32"/>
          <w:szCs w:val="32"/>
          <w:lang w:eastAsia="zh-CN"/>
        </w:rPr>
        <w:t>新建</w:t>
      </w:r>
      <w:r>
        <w:rPr>
          <w:rFonts w:hint="eastAsia" w:ascii="仿宋_GB2312" w:hAnsi="仿宋_GB2312" w:eastAsia="仿宋_GB2312" w:cs="仿宋_GB2312"/>
          <w:bCs/>
          <w:color w:val="auto"/>
          <w:spacing w:val="0"/>
          <w:kern w:val="0"/>
          <w:sz w:val="32"/>
          <w:szCs w:val="32"/>
          <w:lang w:val="en-US" w:eastAsia="zh-CN"/>
        </w:rPr>
        <w:t>，</w:t>
      </w:r>
      <w:r>
        <w:rPr>
          <w:rFonts w:hint="eastAsia" w:ascii="仿宋_GB2312" w:hAnsi="仿宋_GB2312" w:eastAsia="仿宋_GB2312" w:cs="仿宋_GB2312"/>
          <w:color w:val="auto"/>
          <w:spacing w:val="0"/>
          <w:sz w:val="32"/>
          <w:szCs w:val="32"/>
          <w:highlight w:val="none"/>
          <w:lang w:val="en-US" w:eastAsia="zh-CN"/>
        </w:rPr>
        <w:t>位于赣州经济技术开发区境内。项目代码为2409-360700-04-01-246051。</w:t>
      </w:r>
      <w:r>
        <w:rPr>
          <w:rFonts w:hint="eastAsia" w:ascii="仿宋_GB2312" w:hAnsi="仿宋_GB2312" w:eastAsia="仿宋_GB2312" w:cs="仿宋_GB2312"/>
          <w:bCs/>
          <w:color w:val="auto"/>
          <w:spacing w:val="0"/>
          <w:kern w:val="0"/>
          <w:sz w:val="32"/>
          <w:szCs w:val="32"/>
          <w:lang w:val="en-US" w:eastAsia="zh-CN"/>
        </w:rPr>
        <w:t>项目总投资7074万元，其中环保投资46万元。</w:t>
      </w:r>
    </w:p>
    <w:p>
      <w:pPr>
        <w:pStyle w:val="24"/>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方正楷体_GBK" w:hAnsi="方正楷体_GBK" w:eastAsia="方正楷体_GBK" w:cs="方正楷体_GBK"/>
          <w:b/>
          <w:bCs w:val="0"/>
          <w:color w:val="auto"/>
          <w:spacing w:val="0"/>
          <w:kern w:val="0"/>
          <w:sz w:val="32"/>
          <w:szCs w:val="32"/>
          <w:lang w:val="en-US" w:eastAsia="zh-CN"/>
        </w:rPr>
      </w:pPr>
      <w:r>
        <w:rPr>
          <w:rFonts w:hint="eastAsia" w:ascii="方正楷体_GBK" w:hAnsi="方正楷体_GBK" w:eastAsia="方正楷体_GBK" w:cs="方正楷体_GBK"/>
          <w:b/>
          <w:bCs w:val="0"/>
          <w:color w:val="auto"/>
          <w:spacing w:val="0"/>
          <w:kern w:val="0"/>
          <w:sz w:val="32"/>
          <w:szCs w:val="32"/>
          <w:lang w:val="en-US" w:eastAsia="zh-CN"/>
        </w:rPr>
        <w:t>（一）变电站工程</w:t>
      </w:r>
    </w:p>
    <w:p>
      <w:pPr>
        <w:pStyle w:val="24"/>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auto"/>
          <w:spacing w:val="0"/>
          <w:kern w:val="0"/>
          <w:sz w:val="32"/>
          <w:szCs w:val="32"/>
          <w:lang w:val="en-US" w:eastAsia="zh-CN"/>
        </w:rPr>
      </w:pPr>
      <w:r>
        <w:rPr>
          <w:rFonts w:hint="eastAsia" w:ascii="仿宋_GB2312" w:hAnsi="仿宋_GB2312" w:eastAsia="仿宋_GB2312" w:cs="仿宋_GB2312"/>
          <w:bCs/>
          <w:color w:val="auto"/>
          <w:spacing w:val="0"/>
          <w:kern w:val="0"/>
          <w:sz w:val="32"/>
          <w:szCs w:val="32"/>
          <w:lang w:val="en-US" w:eastAsia="zh-CN"/>
        </w:rPr>
        <w:t>新建110kV变电站一座，主变1台，容量为1×50MVA，无功补偿为1×（3+5）Mvar，为户内式变电站，110kV出线间隔3个。</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textAlignment w:val="auto"/>
        <w:rPr>
          <w:rFonts w:hint="eastAsia" w:ascii="楷体_GB2312" w:hAnsi="楷体_GB2312" w:eastAsia="楷体_GB2312" w:cs="楷体_GB2312"/>
          <w:b/>
          <w:bCs w:val="0"/>
          <w:color w:val="auto"/>
          <w:spacing w:val="0"/>
          <w:kern w:val="0"/>
          <w:sz w:val="32"/>
          <w:szCs w:val="32"/>
          <w:lang w:val="en-US" w:eastAsia="zh-CN"/>
        </w:rPr>
      </w:pPr>
      <w:r>
        <w:rPr>
          <w:rFonts w:hint="eastAsia" w:ascii="楷体_GB2312" w:hAnsi="楷体_GB2312" w:eastAsia="楷体_GB2312" w:cs="楷体_GB2312"/>
          <w:b/>
          <w:bCs w:val="0"/>
          <w:color w:val="auto"/>
          <w:spacing w:val="0"/>
          <w:kern w:val="0"/>
          <w:sz w:val="32"/>
          <w:szCs w:val="32"/>
          <w:lang w:val="en-US" w:eastAsia="zh-CN"/>
        </w:rPr>
        <w:t>（二）</w:t>
      </w:r>
      <w:r>
        <w:rPr>
          <w:rFonts w:hint="default" w:ascii="楷体_GB2312" w:hAnsi="楷体_GB2312" w:eastAsia="楷体_GB2312" w:cs="楷体_GB2312"/>
          <w:b/>
          <w:bCs w:val="0"/>
          <w:color w:val="auto"/>
          <w:spacing w:val="0"/>
          <w:kern w:val="0"/>
          <w:sz w:val="32"/>
          <w:szCs w:val="32"/>
          <w:lang w:val="en" w:eastAsia="zh-CN"/>
        </w:rPr>
        <w:t>输电</w:t>
      </w:r>
      <w:r>
        <w:rPr>
          <w:rFonts w:hint="eastAsia" w:ascii="楷体_GB2312" w:hAnsi="楷体_GB2312" w:eastAsia="楷体_GB2312" w:cs="楷体_GB2312"/>
          <w:b/>
          <w:bCs w:val="0"/>
          <w:color w:val="auto"/>
          <w:spacing w:val="0"/>
          <w:kern w:val="0"/>
          <w:sz w:val="32"/>
          <w:szCs w:val="32"/>
          <w:lang w:val="en-US" w:eastAsia="zh-CN"/>
        </w:rPr>
        <w:t>线路工程</w:t>
      </w:r>
    </w:p>
    <w:p>
      <w:pPr>
        <w:pStyle w:val="24"/>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auto"/>
          <w:spacing w:val="0"/>
          <w:kern w:val="0"/>
          <w:sz w:val="32"/>
          <w:szCs w:val="32"/>
          <w:lang w:val="en-US" w:eastAsia="zh-CN"/>
        </w:rPr>
      </w:pPr>
      <w:r>
        <w:rPr>
          <w:rFonts w:hint="eastAsia" w:ascii="仿宋_GB2312" w:hAnsi="仿宋_GB2312" w:eastAsia="仿宋_GB2312" w:cs="仿宋_GB2312"/>
          <w:bCs/>
          <w:color w:val="auto"/>
          <w:spacing w:val="0"/>
          <w:kern w:val="0"/>
          <w:sz w:val="32"/>
          <w:szCs w:val="32"/>
          <w:lang w:val="en-US" w:eastAsia="zh-CN"/>
        </w:rPr>
        <w:t>新建燕丰-湖边110千伏线路π入迎宾变线路工程，线路起点为迎宾110kV变电站110kVGIS终端，终点为燕湖线11#附近拟建电缆终端塔，线路全长1.47km，其中电缆1.32km，架空线路0.15km。新建2基电缆终端塔。</w:t>
      </w:r>
    </w:p>
    <w:p>
      <w:pPr>
        <w:pStyle w:val="24"/>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olor w:val="auto"/>
          <w:spacing w:val="0"/>
          <w:sz w:val="32"/>
          <w:szCs w:val="32"/>
          <w:highlight w:val="none"/>
        </w:rPr>
      </w:pPr>
      <w:r>
        <w:rPr>
          <w:rFonts w:hint="eastAsia" w:ascii="黑体" w:hAnsi="黑体" w:eastAsia="黑体"/>
          <w:color w:val="auto"/>
          <w:spacing w:val="0"/>
          <w:sz w:val="32"/>
          <w:szCs w:val="32"/>
          <w:highlight w:val="none"/>
          <w:lang w:val="en-US" w:eastAsia="zh-CN"/>
        </w:rPr>
        <w:t>二</w:t>
      </w:r>
      <w:r>
        <w:rPr>
          <w:rFonts w:ascii="黑体" w:hAnsi="黑体" w:eastAsia="黑体"/>
          <w:color w:val="auto"/>
          <w:spacing w:val="0"/>
          <w:sz w:val="32"/>
          <w:szCs w:val="32"/>
          <w:highlight w:val="none"/>
        </w:rPr>
        <w:t>、</w:t>
      </w:r>
      <w:r>
        <w:rPr>
          <w:rFonts w:hint="eastAsia" w:ascii="黑体" w:hAnsi="黑体" w:eastAsia="黑体"/>
          <w:color w:val="auto"/>
          <w:spacing w:val="0"/>
          <w:sz w:val="32"/>
          <w:szCs w:val="32"/>
          <w:highlight w:val="none"/>
        </w:rPr>
        <w:t>项目建设的</w:t>
      </w:r>
      <w:r>
        <w:rPr>
          <w:rFonts w:ascii="黑体" w:hAnsi="黑体" w:eastAsia="黑体"/>
          <w:color w:val="auto"/>
          <w:spacing w:val="0"/>
          <w:sz w:val="32"/>
          <w:szCs w:val="32"/>
          <w:highlight w:val="none"/>
        </w:rPr>
        <w:t>污染防治措施及</w:t>
      </w:r>
      <w:r>
        <w:rPr>
          <w:rFonts w:hint="eastAsia" w:ascii="黑体" w:hAnsi="黑体" w:eastAsia="黑体"/>
          <w:color w:val="auto"/>
          <w:spacing w:val="0"/>
          <w:sz w:val="32"/>
          <w:szCs w:val="32"/>
          <w:highlight w:val="none"/>
        </w:rPr>
        <w:t>环境保护</w:t>
      </w:r>
      <w:r>
        <w:rPr>
          <w:rFonts w:ascii="黑体" w:hAnsi="黑体" w:eastAsia="黑体"/>
          <w:color w:val="auto"/>
          <w:spacing w:val="0"/>
          <w:sz w:val="32"/>
          <w:szCs w:val="32"/>
          <w:highlight w:val="none"/>
        </w:rPr>
        <w:t>要求</w:t>
      </w:r>
    </w:p>
    <w:p>
      <w:pPr>
        <w:pStyle w:val="24"/>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Cs/>
          <w:snapToGrid w:val="0"/>
          <w:color w:val="auto"/>
          <w:spacing w:val="0"/>
          <w:sz w:val="32"/>
          <w:szCs w:val="32"/>
          <w:highlight w:val="none"/>
          <w:lang w:val="en-US"/>
        </w:rPr>
      </w:pPr>
      <w:r>
        <w:rPr>
          <w:rFonts w:hint="eastAsia" w:ascii="仿宋_GB2312" w:hAnsi="仿宋_GB2312" w:eastAsia="仿宋_GB2312" w:cs="仿宋_GB2312"/>
          <w:iCs/>
          <w:snapToGrid w:val="0"/>
          <w:color w:val="auto"/>
          <w:spacing w:val="0"/>
          <w:sz w:val="32"/>
          <w:szCs w:val="32"/>
          <w:highlight w:val="none"/>
          <w:lang w:val="en-US"/>
        </w:rPr>
        <w:t>（一）加强施工期的环境保护管理工作，认真落实施工过程中各项污染防治和生态保护措施。</w:t>
      </w:r>
    </w:p>
    <w:p>
      <w:pPr>
        <w:pStyle w:val="24"/>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Cs/>
          <w:snapToGrid w:val="0"/>
          <w:color w:val="auto"/>
          <w:spacing w:val="0"/>
          <w:sz w:val="32"/>
          <w:szCs w:val="32"/>
          <w:highlight w:val="none"/>
          <w:lang w:val="en-US"/>
        </w:rPr>
      </w:pPr>
      <w:r>
        <w:rPr>
          <w:rFonts w:hint="eastAsia" w:ascii="仿宋_GB2312" w:hAnsi="仿宋_GB2312" w:eastAsia="仿宋_GB2312" w:cs="仿宋_GB2312"/>
          <w:iCs/>
          <w:snapToGrid w:val="0"/>
          <w:color w:val="auto"/>
          <w:spacing w:val="0"/>
          <w:sz w:val="32"/>
          <w:szCs w:val="32"/>
          <w:highlight w:val="none"/>
          <w:lang w:val="en-US"/>
        </w:rPr>
        <w:t>（二）项目按照有关规范及要求设计，符合当地规划要求，采取有效防护措施保护生态环境。</w:t>
      </w:r>
    </w:p>
    <w:p>
      <w:pPr>
        <w:pStyle w:val="24"/>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Cs/>
          <w:snapToGrid w:val="0"/>
          <w:color w:val="auto"/>
          <w:spacing w:val="0"/>
          <w:sz w:val="32"/>
          <w:szCs w:val="32"/>
          <w:highlight w:val="none"/>
          <w:lang w:val="en-US"/>
        </w:rPr>
      </w:pPr>
      <w:r>
        <w:rPr>
          <w:rFonts w:hint="eastAsia" w:ascii="仿宋_GB2312" w:hAnsi="仿宋_GB2312" w:eastAsia="仿宋_GB2312" w:cs="仿宋_GB2312"/>
          <w:iCs/>
          <w:snapToGrid w:val="0"/>
          <w:color w:val="auto"/>
          <w:spacing w:val="0"/>
          <w:sz w:val="32"/>
          <w:szCs w:val="32"/>
          <w:highlight w:val="none"/>
          <w:lang w:val="en-US"/>
        </w:rPr>
        <w:t>（三）严格落实电磁环境相关保护措施，确保各环境影响因子满足相应的标准限值；相关区域应设警告标示；加强输变电相关环境保护知识的宣传、解释及培训工作。</w:t>
      </w:r>
    </w:p>
    <w:p>
      <w:pPr>
        <w:pStyle w:val="24"/>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Cs/>
          <w:snapToGrid w:val="0"/>
          <w:color w:val="auto"/>
          <w:spacing w:val="0"/>
          <w:sz w:val="32"/>
          <w:szCs w:val="32"/>
          <w:highlight w:val="none"/>
          <w:lang w:val="en-US"/>
        </w:rPr>
      </w:pPr>
      <w:r>
        <w:rPr>
          <w:rFonts w:hint="eastAsia" w:ascii="仿宋_GB2312" w:hAnsi="仿宋_GB2312" w:eastAsia="仿宋_GB2312" w:cs="仿宋_GB2312"/>
          <w:iCs/>
          <w:snapToGrid w:val="0"/>
          <w:color w:val="auto"/>
          <w:spacing w:val="0"/>
          <w:sz w:val="32"/>
          <w:szCs w:val="32"/>
          <w:highlight w:val="none"/>
          <w:lang w:val="en-US"/>
        </w:rPr>
        <w:t>（四）严格落实声环境保护措施。优化高噪声设备布局，优先选用低噪声设备，经可行性防治措施降噪后确保相应评价区域</w:t>
      </w:r>
      <w:r>
        <w:rPr>
          <w:rFonts w:hint="eastAsia" w:ascii="仿宋_GB2312" w:hAnsi="仿宋_GB2312" w:eastAsia="仿宋_GB2312" w:cs="仿宋_GB2312"/>
          <w:iCs/>
          <w:snapToGrid w:val="0"/>
          <w:color w:val="auto"/>
          <w:spacing w:val="0"/>
          <w:sz w:val="32"/>
          <w:szCs w:val="32"/>
          <w:highlight w:val="none"/>
          <w:lang w:val="en-US" w:eastAsia="zh-CN"/>
        </w:rPr>
        <w:t>噪声</w:t>
      </w:r>
      <w:r>
        <w:rPr>
          <w:rFonts w:hint="eastAsia" w:ascii="仿宋_GB2312" w:hAnsi="仿宋_GB2312" w:eastAsia="仿宋_GB2312" w:cs="仿宋_GB2312"/>
          <w:iCs/>
          <w:snapToGrid w:val="0"/>
          <w:color w:val="auto"/>
          <w:spacing w:val="0"/>
          <w:sz w:val="32"/>
          <w:szCs w:val="32"/>
          <w:highlight w:val="none"/>
          <w:lang w:val="en-US"/>
        </w:rPr>
        <w:t>满足相应标准。</w:t>
      </w:r>
    </w:p>
    <w:p>
      <w:pPr>
        <w:pStyle w:val="24"/>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olor w:val="auto"/>
          <w:spacing w:val="0"/>
          <w:sz w:val="32"/>
          <w:szCs w:val="32"/>
          <w:highlight w:val="none"/>
          <w:lang w:val="en-US"/>
        </w:rPr>
      </w:pPr>
      <w:r>
        <w:rPr>
          <w:rFonts w:hint="eastAsia" w:ascii="黑体" w:hAnsi="黑体" w:eastAsia="黑体"/>
          <w:color w:val="auto"/>
          <w:spacing w:val="0"/>
          <w:sz w:val="32"/>
          <w:szCs w:val="32"/>
          <w:highlight w:val="none"/>
          <w:lang w:val="en-US" w:eastAsia="zh-CN"/>
        </w:rPr>
        <w:t>三</w:t>
      </w:r>
      <w:r>
        <w:rPr>
          <w:rFonts w:hint="eastAsia" w:ascii="黑体" w:hAnsi="黑体" w:eastAsia="黑体"/>
          <w:color w:val="auto"/>
          <w:spacing w:val="0"/>
          <w:sz w:val="32"/>
          <w:szCs w:val="32"/>
          <w:highlight w:val="none"/>
          <w:lang w:val="en-US"/>
        </w:rPr>
        <w:t>、项目执行标准</w:t>
      </w:r>
    </w:p>
    <w:p>
      <w:pPr>
        <w:pStyle w:val="24"/>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 w:val="0"/>
          <w:bCs w:val="0"/>
          <w:color w:val="auto"/>
          <w:spacing w:val="0"/>
          <w:sz w:val="32"/>
          <w:szCs w:val="32"/>
          <w:highlight w:val="none"/>
          <w:lang w:val="en-US"/>
        </w:rPr>
      </w:pPr>
      <w:r>
        <w:rPr>
          <w:rFonts w:hint="eastAsia" w:ascii="楷体_GB2312" w:hAnsi="楷体_GB2312" w:eastAsia="楷体_GB2312" w:cs="楷体_GB2312"/>
          <w:b/>
          <w:bCs/>
          <w:color w:val="auto"/>
          <w:spacing w:val="0"/>
          <w:sz w:val="32"/>
          <w:szCs w:val="32"/>
          <w:highlight w:val="none"/>
          <w:lang w:val="en-US"/>
        </w:rPr>
        <w:t>（一）电磁环境：</w:t>
      </w:r>
      <w:r>
        <w:rPr>
          <w:rFonts w:hint="eastAsia" w:ascii="仿宋_GB2312" w:hAnsi="仿宋_GB2312" w:eastAsia="仿宋_GB2312" w:cs="仿宋_GB2312"/>
          <w:b w:val="0"/>
          <w:bCs w:val="0"/>
          <w:color w:val="auto"/>
          <w:spacing w:val="0"/>
          <w:sz w:val="32"/>
          <w:szCs w:val="32"/>
          <w:highlight w:val="none"/>
          <w:lang w:val="en-US" w:eastAsia="zh-CN"/>
        </w:rPr>
        <w:t>工频电场强度</w:t>
      </w:r>
      <w:r>
        <w:rPr>
          <w:rFonts w:hint="eastAsia" w:ascii="仿宋_GB2312" w:hAnsi="仿宋_GB2312" w:eastAsia="仿宋_GB2312" w:cs="仿宋_GB2312"/>
          <w:b w:val="0"/>
          <w:bCs w:val="0"/>
          <w:color w:val="auto"/>
          <w:spacing w:val="0"/>
          <w:sz w:val="32"/>
          <w:szCs w:val="32"/>
          <w:highlight w:val="none"/>
          <w:lang w:val="en-US"/>
        </w:rPr>
        <w:t>、</w:t>
      </w:r>
      <w:r>
        <w:rPr>
          <w:rFonts w:hint="eastAsia" w:ascii="仿宋_GB2312" w:hAnsi="仿宋_GB2312" w:eastAsia="仿宋_GB2312" w:cs="仿宋_GB2312"/>
          <w:b w:val="0"/>
          <w:bCs w:val="0"/>
          <w:color w:val="auto"/>
          <w:spacing w:val="0"/>
          <w:sz w:val="32"/>
          <w:szCs w:val="32"/>
          <w:highlight w:val="none"/>
          <w:lang w:val="en-US" w:eastAsia="zh-CN"/>
        </w:rPr>
        <w:t>工频磁感应强度执行</w:t>
      </w:r>
      <w:r>
        <w:rPr>
          <w:rFonts w:hint="eastAsia" w:ascii="仿宋_GB2312" w:hAnsi="仿宋_GB2312" w:eastAsia="仿宋_GB2312" w:cs="仿宋_GB2312"/>
          <w:b w:val="0"/>
          <w:bCs w:val="0"/>
          <w:color w:val="auto"/>
          <w:spacing w:val="0"/>
          <w:sz w:val="32"/>
          <w:szCs w:val="32"/>
          <w:highlight w:val="none"/>
          <w:lang w:val="en-US"/>
        </w:rPr>
        <w:t>《电磁环境控制限值》（GB 8702—2014）</w:t>
      </w:r>
      <w:r>
        <w:rPr>
          <w:rFonts w:hint="eastAsia" w:ascii="仿宋_GB2312" w:hAnsi="仿宋_GB2312" w:eastAsia="仿宋_GB2312" w:cs="仿宋_GB2312"/>
          <w:b w:val="0"/>
          <w:bCs w:val="0"/>
          <w:color w:val="auto"/>
          <w:spacing w:val="0"/>
          <w:sz w:val="32"/>
          <w:szCs w:val="32"/>
          <w:highlight w:val="none"/>
          <w:lang w:val="en-US" w:eastAsia="zh-CN"/>
        </w:rPr>
        <w:t>标准</w:t>
      </w:r>
      <w:r>
        <w:rPr>
          <w:rFonts w:hint="eastAsia" w:ascii="仿宋_GB2312" w:hAnsi="仿宋_GB2312" w:eastAsia="仿宋_GB2312" w:cs="仿宋_GB2312"/>
          <w:b w:val="0"/>
          <w:bCs w:val="0"/>
          <w:color w:val="auto"/>
          <w:spacing w:val="0"/>
          <w:sz w:val="32"/>
          <w:szCs w:val="32"/>
          <w:highlight w:val="none"/>
          <w:lang w:val="en-US"/>
        </w:rPr>
        <w:t>。</w:t>
      </w:r>
    </w:p>
    <w:p>
      <w:pPr>
        <w:pStyle w:val="24"/>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 w:val="0"/>
          <w:bCs w:val="0"/>
          <w:color w:val="auto"/>
          <w:spacing w:val="0"/>
          <w:sz w:val="32"/>
          <w:szCs w:val="32"/>
          <w:highlight w:val="none"/>
          <w:lang w:val="en-US"/>
        </w:rPr>
      </w:pPr>
      <w:r>
        <w:rPr>
          <w:rFonts w:hint="eastAsia" w:ascii="楷体_GB2312" w:hAnsi="楷体_GB2312" w:eastAsia="楷体_GB2312" w:cs="楷体_GB2312"/>
          <w:b/>
          <w:bCs/>
          <w:color w:val="auto"/>
          <w:spacing w:val="0"/>
          <w:sz w:val="32"/>
          <w:szCs w:val="32"/>
          <w:highlight w:val="none"/>
          <w:lang w:val="en-US"/>
        </w:rPr>
        <w:t>（二）噪声：</w:t>
      </w:r>
      <w:r>
        <w:rPr>
          <w:rFonts w:hint="eastAsia" w:ascii="仿宋_GB2312" w:hAnsi="仿宋_GB2312" w:eastAsia="仿宋_GB2312" w:cs="仿宋_GB2312"/>
          <w:b w:val="0"/>
          <w:bCs w:val="0"/>
          <w:color w:val="auto"/>
          <w:spacing w:val="0"/>
          <w:sz w:val="32"/>
          <w:szCs w:val="32"/>
          <w:highlight w:val="none"/>
          <w:lang w:val="en-US"/>
        </w:rPr>
        <w:t>厂界噪声执行《工业企业厂界环境噪声排放标准》（GB 12348—2008）</w:t>
      </w:r>
      <w:r>
        <w:rPr>
          <w:rFonts w:hint="eastAsia" w:ascii="仿宋_GB2312" w:hAnsi="仿宋_GB2312" w:eastAsia="仿宋_GB2312" w:cs="仿宋_GB2312"/>
          <w:b w:val="0"/>
          <w:bCs w:val="0"/>
          <w:color w:val="auto"/>
          <w:spacing w:val="0"/>
          <w:sz w:val="32"/>
          <w:szCs w:val="32"/>
          <w:highlight w:val="none"/>
          <w:lang w:val="en-US" w:eastAsia="zh-CN"/>
        </w:rPr>
        <w:t>2</w:t>
      </w:r>
      <w:r>
        <w:rPr>
          <w:rFonts w:hint="eastAsia" w:ascii="仿宋_GB2312" w:hAnsi="仿宋_GB2312" w:eastAsia="仿宋_GB2312" w:cs="仿宋_GB2312"/>
          <w:b w:val="0"/>
          <w:bCs w:val="0"/>
          <w:color w:val="auto"/>
          <w:spacing w:val="0"/>
          <w:sz w:val="32"/>
          <w:szCs w:val="32"/>
          <w:highlight w:val="none"/>
          <w:lang w:val="en-US"/>
        </w:rPr>
        <w:t>类</w:t>
      </w:r>
      <w:r>
        <w:rPr>
          <w:rFonts w:hint="eastAsia" w:ascii="仿宋_GB2312" w:hAnsi="仿宋_GB2312" w:eastAsia="仿宋_GB2312" w:cs="仿宋_GB2312"/>
          <w:b w:val="0"/>
          <w:bCs w:val="0"/>
          <w:color w:val="auto"/>
          <w:spacing w:val="0"/>
          <w:sz w:val="32"/>
          <w:szCs w:val="32"/>
          <w:highlight w:val="none"/>
          <w:lang w:val="en-US" w:eastAsia="zh-CN"/>
        </w:rPr>
        <w:t>和4类</w:t>
      </w:r>
      <w:r>
        <w:rPr>
          <w:rFonts w:hint="eastAsia" w:ascii="仿宋_GB2312" w:hAnsi="仿宋_GB2312" w:eastAsia="仿宋_GB2312" w:cs="仿宋_GB2312"/>
          <w:b w:val="0"/>
          <w:bCs w:val="0"/>
          <w:color w:val="auto"/>
          <w:spacing w:val="0"/>
          <w:sz w:val="32"/>
          <w:szCs w:val="32"/>
          <w:highlight w:val="none"/>
          <w:lang w:val="en-US"/>
        </w:rPr>
        <w:t>标准</w:t>
      </w:r>
      <w:r>
        <w:rPr>
          <w:rFonts w:hint="eastAsia" w:ascii="仿宋_GB2312" w:hAnsi="仿宋_GB2312" w:eastAsia="仿宋_GB2312" w:cs="仿宋_GB2312"/>
          <w:b w:val="0"/>
          <w:bCs w:val="0"/>
          <w:color w:val="auto"/>
          <w:spacing w:val="0"/>
          <w:sz w:val="32"/>
          <w:szCs w:val="32"/>
          <w:highlight w:val="none"/>
          <w:lang w:val="en-US" w:eastAsia="zh-CN"/>
        </w:rPr>
        <w:t>。</w:t>
      </w:r>
      <w:r>
        <w:rPr>
          <w:rFonts w:hint="eastAsia" w:ascii="仿宋_GB2312" w:hAnsi="仿宋_GB2312" w:eastAsia="仿宋_GB2312" w:cs="仿宋_GB2312"/>
          <w:b w:val="0"/>
          <w:bCs w:val="0"/>
          <w:color w:val="auto"/>
          <w:spacing w:val="0"/>
          <w:sz w:val="32"/>
          <w:szCs w:val="32"/>
          <w:highlight w:val="none"/>
          <w:lang w:val="en-US"/>
        </w:rPr>
        <w:t>相应评价区域声环境质量执行《声环境质量标准》（GB 3096—2008）2类和4a类标准。</w:t>
      </w:r>
    </w:p>
    <w:p>
      <w:pPr>
        <w:pStyle w:val="24"/>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olor w:val="auto"/>
          <w:spacing w:val="0"/>
          <w:sz w:val="32"/>
          <w:szCs w:val="32"/>
          <w:highlight w:val="none"/>
          <w:lang w:val="en-US"/>
        </w:rPr>
      </w:pPr>
      <w:r>
        <w:rPr>
          <w:rFonts w:hint="eastAsia" w:ascii="黑体" w:hAnsi="黑体" w:eastAsia="黑体"/>
          <w:color w:val="auto"/>
          <w:spacing w:val="0"/>
          <w:sz w:val="32"/>
          <w:szCs w:val="32"/>
          <w:highlight w:val="none"/>
          <w:lang w:val="en-US"/>
        </w:rPr>
        <w:t>四、</w:t>
      </w:r>
      <w:r>
        <w:rPr>
          <w:rFonts w:hint="eastAsia" w:ascii="黑体" w:hAnsi="黑体" w:eastAsia="黑体"/>
          <w:color w:val="auto"/>
          <w:spacing w:val="0"/>
          <w:sz w:val="32"/>
          <w:szCs w:val="32"/>
          <w:highlight w:val="none"/>
          <w:lang w:val="en-US" w:eastAsia="zh-CN"/>
        </w:rPr>
        <w:t>其他</w:t>
      </w:r>
      <w:r>
        <w:rPr>
          <w:rFonts w:hint="eastAsia" w:ascii="黑体" w:hAnsi="黑体" w:eastAsia="黑体"/>
          <w:color w:val="auto"/>
          <w:spacing w:val="0"/>
          <w:sz w:val="32"/>
          <w:szCs w:val="32"/>
          <w:highlight w:val="none"/>
          <w:lang w:val="en-US"/>
        </w:rPr>
        <w:t>要求</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pacing w:val="0"/>
          <w:kern w:val="0"/>
          <w:sz w:val="32"/>
          <w:szCs w:val="32"/>
          <w:highlight w:val="none"/>
        </w:rPr>
      </w:pPr>
      <w:r>
        <w:rPr>
          <w:rFonts w:hint="eastAsia" w:ascii="仿宋_GB2312" w:hAnsi="仿宋_GB2312" w:eastAsia="仿宋_GB2312" w:cs="仿宋_GB2312"/>
          <w:color w:val="auto"/>
          <w:spacing w:val="0"/>
          <w:kern w:val="0"/>
          <w:sz w:val="32"/>
          <w:szCs w:val="32"/>
          <w:highlight w:val="none"/>
        </w:rPr>
        <w:t>（</w:t>
      </w:r>
      <w:r>
        <w:rPr>
          <w:rFonts w:hint="eastAsia" w:ascii="仿宋_GB2312" w:hAnsi="仿宋_GB2312" w:eastAsia="仿宋_GB2312" w:cs="仿宋_GB2312"/>
          <w:color w:val="auto"/>
          <w:spacing w:val="0"/>
          <w:kern w:val="0"/>
          <w:sz w:val="32"/>
          <w:szCs w:val="32"/>
          <w:highlight w:val="none"/>
          <w:lang w:val="en-US" w:eastAsia="zh-CN"/>
        </w:rPr>
        <w:t>一</w:t>
      </w:r>
      <w:r>
        <w:rPr>
          <w:rFonts w:hint="eastAsia" w:ascii="仿宋_GB2312" w:hAnsi="仿宋_GB2312" w:eastAsia="仿宋_GB2312" w:cs="仿宋_GB2312"/>
          <w:color w:val="auto"/>
          <w:spacing w:val="0"/>
          <w:kern w:val="0"/>
          <w:sz w:val="32"/>
          <w:szCs w:val="32"/>
          <w:highlight w:val="none"/>
        </w:rPr>
        <w:t>）项目建设必须严格执行配套的环境保护设施与主体工程同时设计、同时施工、同时投产使用的“三同时”制度。按规定程序开展竣工环境保护验收</w:t>
      </w:r>
      <w:r>
        <w:rPr>
          <w:rFonts w:hint="eastAsia" w:ascii="仿宋_GB2312" w:hAnsi="仿宋_GB2312" w:eastAsia="仿宋_GB2312" w:cs="仿宋_GB2312"/>
          <w:color w:val="auto"/>
          <w:spacing w:val="0"/>
          <w:kern w:val="0"/>
          <w:sz w:val="32"/>
          <w:szCs w:val="32"/>
          <w:highlight w:val="none"/>
          <w:lang w:eastAsia="zh-CN"/>
        </w:rPr>
        <w:t>，验收合格后方可正式投入运行</w:t>
      </w:r>
      <w:r>
        <w:rPr>
          <w:rFonts w:hint="eastAsia" w:ascii="仿宋_GB2312" w:hAnsi="仿宋_GB2312" w:eastAsia="仿宋_GB2312" w:cs="仿宋_GB2312"/>
          <w:color w:val="auto"/>
          <w:spacing w:val="0"/>
          <w:kern w:val="0"/>
          <w:sz w:val="32"/>
          <w:szCs w:val="32"/>
          <w:highlight w:val="none"/>
        </w:rPr>
        <w:t>。环境影响报告</w:t>
      </w:r>
      <w:r>
        <w:rPr>
          <w:rFonts w:hint="eastAsia" w:ascii="仿宋_GB2312" w:hAnsi="仿宋_GB2312" w:eastAsia="仿宋_GB2312" w:cs="仿宋_GB2312"/>
          <w:color w:val="auto"/>
          <w:spacing w:val="0"/>
          <w:kern w:val="0"/>
          <w:sz w:val="32"/>
          <w:szCs w:val="32"/>
          <w:highlight w:val="none"/>
          <w:lang w:val="en-US" w:eastAsia="zh-CN"/>
        </w:rPr>
        <w:t>表</w:t>
      </w:r>
      <w:r>
        <w:rPr>
          <w:rFonts w:hint="eastAsia" w:ascii="仿宋_GB2312" w:hAnsi="仿宋_GB2312" w:eastAsia="仿宋_GB2312" w:cs="仿宋_GB2312"/>
          <w:color w:val="auto"/>
          <w:spacing w:val="0"/>
          <w:kern w:val="0"/>
          <w:sz w:val="32"/>
          <w:szCs w:val="32"/>
          <w:highlight w:val="none"/>
        </w:rPr>
        <w:t>经批准后，项目的性质、规模、地点、生产工艺和环境保护措施发生重大变动，应当重新报批环境影响报告</w:t>
      </w:r>
      <w:r>
        <w:rPr>
          <w:rFonts w:hint="eastAsia" w:ascii="仿宋_GB2312" w:hAnsi="仿宋_GB2312" w:eastAsia="仿宋_GB2312" w:cs="仿宋_GB2312"/>
          <w:color w:val="auto"/>
          <w:spacing w:val="0"/>
          <w:kern w:val="0"/>
          <w:sz w:val="32"/>
          <w:szCs w:val="32"/>
          <w:highlight w:val="none"/>
          <w:lang w:val="en-US" w:eastAsia="zh-CN"/>
        </w:rPr>
        <w:t>表</w:t>
      </w:r>
      <w:r>
        <w:rPr>
          <w:rFonts w:hint="eastAsia" w:ascii="仿宋_GB2312" w:hAnsi="仿宋_GB2312" w:eastAsia="仿宋_GB2312" w:cs="仿宋_GB2312"/>
          <w:color w:val="auto"/>
          <w:spacing w:val="0"/>
          <w:kern w:val="0"/>
          <w:sz w:val="32"/>
          <w:szCs w:val="32"/>
          <w:highlight w:val="none"/>
        </w:rPr>
        <w:t>。自批准之日起超过五年</w:t>
      </w:r>
      <w:r>
        <w:rPr>
          <w:rFonts w:hint="eastAsia" w:ascii="仿宋_GB2312" w:hAnsi="仿宋_GB2312" w:eastAsia="仿宋_GB2312" w:cs="仿宋_GB2312"/>
          <w:color w:val="auto"/>
          <w:spacing w:val="0"/>
          <w:kern w:val="0"/>
          <w:sz w:val="32"/>
          <w:szCs w:val="32"/>
          <w:highlight w:val="none"/>
          <w:lang w:val="en-US" w:eastAsia="zh-CN"/>
        </w:rPr>
        <w:t>后</w:t>
      </w:r>
      <w:r>
        <w:rPr>
          <w:rFonts w:hint="eastAsia" w:ascii="仿宋_GB2312" w:hAnsi="仿宋_GB2312" w:eastAsia="仿宋_GB2312" w:cs="仿宋_GB2312"/>
          <w:color w:val="auto"/>
          <w:spacing w:val="0"/>
          <w:kern w:val="0"/>
          <w:sz w:val="32"/>
          <w:szCs w:val="32"/>
          <w:highlight w:val="none"/>
        </w:rPr>
        <w:t>开工建设的，环境影响报告</w:t>
      </w:r>
      <w:r>
        <w:rPr>
          <w:rFonts w:hint="eastAsia" w:ascii="仿宋_GB2312" w:hAnsi="仿宋_GB2312" w:eastAsia="仿宋_GB2312" w:cs="仿宋_GB2312"/>
          <w:color w:val="auto"/>
          <w:spacing w:val="0"/>
          <w:kern w:val="0"/>
          <w:sz w:val="32"/>
          <w:szCs w:val="32"/>
          <w:highlight w:val="none"/>
          <w:lang w:val="en-US" w:eastAsia="zh-CN"/>
        </w:rPr>
        <w:t>表</w:t>
      </w:r>
      <w:r>
        <w:rPr>
          <w:rFonts w:hint="eastAsia" w:ascii="仿宋_GB2312" w:hAnsi="仿宋_GB2312" w:eastAsia="仿宋_GB2312" w:cs="仿宋_GB2312"/>
          <w:color w:val="auto"/>
          <w:spacing w:val="0"/>
          <w:kern w:val="0"/>
          <w:sz w:val="32"/>
          <w:szCs w:val="32"/>
          <w:highlight w:val="none"/>
        </w:rPr>
        <w:t>应当报我局重新审核。</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color w:val="auto"/>
          <w:spacing w:val="0"/>
          <w:sz w:val="32"/>
          <w:szCs w:val="32"/>
          <w:highlight w:val="none"/>
          <w:lang w:val="en-US"/>
        </w:rPr>
      </w:pPr>
      <w:r>
        <w:rPr>
          <w:rFonts w:hint="eastAsia" w:ascii="仿宋_GB2312" w:hAnsi="仿宋_GB2312" w:eastAsia="仿宋_GB2312" w:cs="仿宋_GB2312"/>
          <w:color w:val="auto"/>
          <w:spacing w:val="0"/>
          <w:kern w:val="0"/>
          <w:sz w:val="32"/>
          <w:szCs w:val="32"/>
          <w:highlight w:val="none"/>
          <w:lang w:eastAsia="zh-CN"/>
        </w:rPr>
        <w:t>（</w:t>
      </w:r>
      <w:r>
        <w:rPr>
          <w:rFonts w:hint="eastAsia" w:ascii="仿宋_GB2312" w:hAnsi="仿宋_GB2312" w:eastAsia="仿宋_GB2312" w:cs="仿宋_GB2312"/>
          <w:color w:val="auto"/>
          <w:spacing w:val="0"/>
          <w:kern w:val="0"/>
          <w:sz w:val="32"/>
          <w:szCs w:val="32"/>
          <w:highlight w:val="none"/>
          <w:lang w:val="en-US" w:eastAsia="zh-CN"/>
        </w:rPr>
        <w:t>二</w:t>
      </w:r>
      <w:r>
        <w:rPr>
          <w:rFonts w:hint="eastAsia" w:ascii="仿宋_GB2312" w:hAnsi="仿宋_GB2312" w:eastAsia="仿宋_GB2312" w:cs="仿宋_GB2312"/>
          <w:color w:val="auto"/>
          <w:spacing w:val="0"/>
          <w:kern w:val="0"/>
          <w:sz w:val="32"/>
          <w:szCs w:val="32"/>
          <w:highlight w:val="none"/>
          <w:lang w:eastAsia="zh-CN"/>
        </w:rPr>
        <w:t>）</w:t>
      </w:r>
      <w:r>
        <w:rPr>
          <w:rFonts w:hint="eastAsia" w:ascii="仿宋_GB2312" w:hAnsi="仿宋_GB2312" w:eastAsia="仿宋_GB2312" w:cs="仿宋_GB2312"/>
          <w:color w:val="auto"/>
          <w:spacing w:val="0"/>
          <w:kern w:val="0"/>
          <w:sz w:val="32"/>
          <w:szCs w:val="32"/>
          <w:highlight w:val="none"/>
        </w:rPr>
        <w:t>你公司应在收到本批复后20个工作日内，将批准后的环境影响报告</w:t>
      </w:r>
      <w:r>
        <w:rPr>
          <w:rFonts w:hint="eastAsia" w:ascii="仿宋_GB2312" w:hAnsi="仿宋_GB2312" w:eastAsia="仿宋_GB2312" w:cs="仿宋_GB2312"/>
          <w:color w:val="auto"/>
          <w:spacing w:val="0"/>
          <w:kern w:val="0"/>
          <w:sz w:val="32"/>
          <w:szCs w:val="32"/>
          <w:highlight w:val="none"/>
          <w:lang w:val="en-US" w:eastAsia="zh-CN"/>
        </w:rPr>
        <w:t>表及批复</w:t>
      </w:r>
      <w:r>
        <w:rPr>
          <w:rFonts w:hint="eastAsia" w:ascii="仿宋_GB2312" w:hAnsi="仿宋_GB2312" w:eastAsia="仿宋_GB2312" w:cs="仿宋_GB2312"/>
          <w:color w:val="auto"/>
          <w:spacing w:val="0"/>
          <w:kern w:val="0"/>
          <w:sz w:val="32"/>
          <w:szCs w:val="32"/>
          <w:highlight w:val="none"/>
        </w:rPr>
        <w:t>送</w:t>
      </w:r>
      <w:r>
        <w:rPr>
          <w:rFonts w:hint="eastAsia" w:ascii="仿宋_GB2312" w:hAnsi="仿宋_GB2312" w:eastAsia="仿宋_GB2312" w:cs="仿宋_GB2312"/>
          <w:color w:val="auto"/>
          <w:spacing w:val="0"/>
          <w:kern w:val="0"/>
          <w:sz w:val="32"/>
          <w:szCs w:val="32"/>
          <w:highlight w:val="none"/>
          <w:lang w:val="en-US" w:eastAsia="zh-CN"/>
        </w:rPr>
        <w:t>至</w:t>
      </w:r>
      <w:r>
        <w:rPr>
          <w:rFonts w:hint="eastAsia" w:ascii="仿宋_GB2312" w:hAnsi="仿宋_GB2312" w:eastAsia="仿宋_GB2312" w:cs="仿宋_GB2312"/>
          <w:color w:val="auto"/>
          <w:spacing w:val="0"/>
          <w:kern w:val="0"/>
          <w:sz w:val="32"/>
          <w:szCs w:val="32"/>
          <w:highlight w:val="none"/>
        </w:rPr>
        <w:t>赣州市生态环境局</w:t>
      </w:r>
      <w:r>
        <w:rPr>
          <w:rFonts w:hint="eastAsia" w:ascii="仿宋_GB2312" w:hAnsi="仿宋_GB2312" w:eastAsia="仿宋_GB2312" w:cs="仿宋_GB2312"/>
          <w:color w:val="auto"/>
          <w:spacing w:val="0"/>
          <w:kern w:val="0"/>
          <w:sz w:val="32"/>
          <w:szCs w:val="32"/>
          <w:highlight w:val="none"/>
          <w:lang w:eastAsia="zh-CN"/>
        </w:rPr>
        <w:t>赣州</w:t>
      </w:r>
      <w:r>
        <w:rPr>
          <w:rFonts w:hint="eastAsia" w:ascii="仿宋_GB2312" w:hAnsi="仿宋_GB2312" w:eastAsia="仿宋_GB2312" w:cs="仿宋_GB2312"/>
          <w:color w:val="auto"/>
          <w:spacing w:val="0"/>
          <w:kern w:val="0"/>
          <w:sz w:val="32"/>
          <w:szCs w:val="32"/>
          <w:highlight w:val="none"/>
        </w:rPr>
        <w:t>经济技术开发区分局，并按规定接受各级生态环境主管部门的日常监督检查。</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5120" w:firstLineChars="1600"/>
        <w:textAlignment w:val="auto"/>
        <w:rPr>
          <w:rFonts w:hint="eastAsia" w:ascii="仿宋_GB2312" w:hAnsi="仿宋_GB2312" w:eastAsia="仿宋_GB2312" w:cs="仿宋_GB2312"/>
          <w:color w:val="auto"/>
          <w:spacing w:val="0"/>
          <w:kern w:val="0"/>
          <w:sz w:val="32"/>
          <w:szCs w:val="32"/>
          <w:highlight w:val="none"/>
        </w:rPr>
      </w:pP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5440" w:firstLineChars="1700"/>
        <w:textAlignment w:val="auto"/>
        <w:rPr>
          <w:rFonts w:hint="eastAsia" w:ascii="仿宋_GB2312" w:hAnsi="仿宋_GB2312" w:eastAsia="仿宋_GB2312" w:cs="仿宋_GB2312"/>
          <w:color w:val="auto"/>
          <w:spacing w:val="0"/>
          <w:kern w:val="0"/>
          <w:sz w:val="32"/>
          <w:szCs w:val="32"/>
          <w:highlight w:val="none"/>
        </w:rPr>
      </w:pPr>
      <w:r>
        <w:rPr>
          <w:rFonts w:hint="eastAsia" w:ascii="仿宋_GB2312" w:hAnsi="仿宋_GB2312" w:eastAsia="仿宋_GB2312" w:cs="仿宋_GB2312"/>
          <w:color w:val="auto"/>
          <w:spacing w:val="0"/>
          <w:kern w:val="0"/>
          <w:sz w:val="32"/>
          <w:szCs w:val="32"/>
          <w:highlight w:val="none"/>
        </w:rPr>
        <w:t>赣州市行政审批局</w:t>
      </w:r>
    </w:p>
    <w:p>
      <w:pPr>
        <w:pStyle w:val="7"/>
        <w:keepNext w:val="0"/>
        <w:keepLines w:val="0"/>
        <w:pageBreakBefore w:val="0"/>
        <w:widowControl w:val="0"/>
        <w:kinsoku/>
        <w:wordWrap/>
        <w:overflowPunct/>
        <w:topLinePunct w:val="0"/>
        <w:autoSpaceDE/>
        <w:autoSpaceDN/>
        <w:bidi w:val="0"/>
        <w:adjustRightInd w:val="0"/>
        <w:snapToGrid w:val="0"/>
        <w:spacing w:line="560" w:lineRule="exact"/>
        <w:ind w:firstLine="5440" w:firstLineChars="1700"/>
        <w:textAlignment w:val="auto"/>
        <w:rPr>
          <w:rFonts w:hint="eastAsia" w:ascii="仿宋_GB2312" w:hAnsi="仿宋_GB2312" w:eastAsia="仿宋_GB2312" w:cs="仿宋_GB2312"/>
          <w:color w:val="auto"/>
          <w:spacing w:val="0"/>
          <w:kern w:val="0"/>
          <w:sz w:val="32"/>
          <w:szCs w:val="32"/>
          <w:highlight w:val="none"/>
          <w:lang w:eastAsia="zh-CN"/>
        </w:rPr>
      </w:pPr>
      <w:r>
        <w:rPr>
          <w:rFonts w:hint="eastAsia" w:ascii="仿宋_GB2312" w:hAnsi="仿宋_GB2312" w:eastAsia="仿宋_GB2312" w:cs="仿宋_GB2312"/>
          <w:color w:val="auto"/>
          <w:spacing w:val="0"/>
          <w:kern w:val="0"/>
          <w:sz w:val="32"/>
          <w:szCs w:val="32"/>
          <w:highlight w:val="none"/>
        </w:rPr>
        <w:t>202</w:t>
      </w:r>
      <w:r>
        <w:rPr>
          <w:rFonts w:hint="eastAsia" w:ascii="仿宋_GB2312" w:hAnsi="仿宋_GB2312" w:eastAsia="仿宋_GB2312" w:cs="仿宋_GB2312"/>
          <w:color w:val="auto"/>
          <w:spacing w:val="0"/>
          <w:kern w:val="0"/>
          <w:sz w:val="32"/>
          <w:szCs w:val="32"/>
          <w:highlight w:val="none"/>
          <w:lang w:val="en-US" w:eastAsia="zh-CN"/>
        </w:rPr>
        <w:t>5</w:t>
      </w:r>
      <w:r>
        <w:rPr>
          <w:rFonts w:hint="eastAsia" w:ascii="仿宋_GB2312" w:hAnsi="仿宋_GB2312" w:eastAsia="仿宋_GB2312" w:cs="仿宋_GB2312"/>
          <w:color w:val="auto"/>
          <w:spacing w:val="0"/>
          <w:kern w:val="0"/>
          <w:sz w:val="32"/>
          <w:szCs w:val="32"/>
          <w:highlight w:val="none"/>
        </w:rPr>
        <w:t>年</w:t>
      </w:r>
      <w:r>
        <w:rPr>
          <w:rFonts w:hint="eastAsia" w:ascii="仿宋_GB2312" w:hAnsi="仿宋_GB2312" w:eastAsia="仿宋_GB2312" w:cs="仿宋_GB2312"/>
          <w:color w:val="auto"/>
          <w:spacing w:val="0"/>
          <w:kern w:val="0"/>
          <w:sz w:val="32"/>
          <w:szCs w:val="32"/>
          <w:highlight w:val="none"/>
          <w:lang w:val="en-US" w:eastAsia="zh-CN"/>
        </w:rPr>
        <w:t>4</w:t>
      </w:r>
      <w:r>
        <w:rPr>
          <w:rFonts w:hint="eastAsia" w:ascii="仿宋_GB2312" w:hAnsi="仿宋_GB2312" w:eastAsia="仿宋_GB2312" w:cs="仿宋_GB2312"/>
          <w:color w:val="auto"/>
          <w:spacing w:val="0"/>
          <w:kern w:val="0"/>
          <w:sz w:val="32"/>
          <w:szCs w:val="32"/>
          <w:highlight w:val="none"/>
        </w:rPr>
        <w:t>月</w:t>
      </w:r>
      <w:r>
        <w:rPr>
          <w:rFonts w:hint="default" w:ascii="仿宋_GB2312" w:hAnsi="仿宋_GB2312" w:eastAsia="仿宋_GB2312" w:cs="仿宋_GB2312"/>
          <w:color w:val="auto"/>
          <w:spacing w:val="0"/>
          <w:kern w:val="0"/>
          <w:sz w:val="32"/>
          <w:szCs w:val="32"/>
          <w:highlight w:val="none"/>
          <w:lang w:val="en" w:eastAsia="zh-CN"/>
        </w:rPr>
        <w:t>22</w:t>
      </w:r>
      <w:r>
        <w:rPr>
          <w:rFonts w:hint="eastAsia" w:ascii="仿宋_GB2312" w:hAnsi="仿宋_GB2312" w:eastAsia="仿宋_GB2312" w:cs="仿宋_GB2312"/>
          <w:color w:val="auto"/>
          <w:spacing w:val="0"/>
          <w:kern w:val="0"/>
          <w:sz w:val="32"/>
          <w:szCs w:val="32"/>
          <w:highlight w:val="none"/>
        </w:rPr>
        <w:t>日</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pacing w:val="0"/>
          <w:kern w:val="0"/>
          <w:sz w:val="32"/>
          <w:szCs w:val="32"/>
          <w:highlight w:val="none"/>
          <w:lang w:eastAsia="zh-CN"/>
        </w:rPr>
      </w:pPr>
      <w:r>
        <w:rPr>
          <w:rFonts w:hint="eastAsia" w:ascii="仿宋_GB2312" w:hAnsi="仿宋_GB2312" w:eastAsia="仿宋_GB2312" w:cs="仿宋_GB2312"/>
          <w:color w:val="auto"/>
          <w:spacing w:val="0"/>
          <w:kern w:val="0"/>
          <w:sz w:val="32"/>
          <w:szCs w:val="32"/>
          <w:highlight w:val="none"/>
          <w:lang w:eastAsia="zh-CN"/>
        </w:rPr>
        <w:t>（此件依法公开）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pacing w:val="0"/>
          <w:kern w:val="0"/>
          <w:sz w:val="32"/>
          <w:szCs w:val="32"/>
          <w:highlight w:val="none"/>
          <w:lang w:eastAsia="zh-CN"/>
        </w:rPr>
      </w:pPr>
      <w:r>
        <w:rPr>
          <w:rFonts w:hint="eastAsia" w:ascii="仿宋_GB2312" w:hAnsi="仿宋_GB2312" w:eastAsia="仿宋_GB2312" w:cs="仿宋_GB2312"/>
          <w:color w:val="auto"/>
          <w:spacing w:val="0"/>
          <w:kern w:val="0"/>
          <w:sz w:val="32"/>
          <w:szCs w:val="32"/>
          <w:highlight w:val="none"/>
          <w:lang w:eastAsia="zh-CN"/>
        </w:rPr>
        <w:t>（此页无正文）</w:t>
      </w:r>
    </w:p>
    <w:p>
      <w:pPr>
        <w:keepNext w:val="0"/>
        <w:keepLines w:val="0"/>
        <w:pageBreakBefore w:val="0"/>
        <w:widowControl w:val="0"/>
        <w:kinsoku/>
        <w:wordWrap/>
        <w:overflowPunct/>
        <w:topLinePunct w:val="0"/>
        <w:bidi w:val="0"/>
        <w:spacing w:line="560" w:lineRule="exact"/>
        <w:textAlignment w:val="auto"/>
        <w:rPr>
          <w:rFonts w:hint="default"/>
          <w:color w:val="auto"/>
          <w:sz w:val="32"/>
          <w:szCs w:val="32"/>
          <w:lang w:val="en-US" w:eastAsia="zh-CN"/>
        </w:rPr>
      </w:pPr>
    </w:p>
    <w:p>
      <w:pPr>
        <w:pStyle w:val="19"/>
        <w:keepNext w:val="0"/>
        <w:keepLines w:val="0"/>
        <w:pageBreakBefore w:val="0"/>
        <w:widowControl w:val="0"/>
        <w:kinsoku/>
        <w:wordWrap/>
        <w:overflowPunct/>
        <w:topLinePunct w:val="0"/>
        <w:bidi w:val="0"/>
        <w:spacing w:line="560" w:lineRule="exact"/>
        <w:textAlignment w:val="auto"/>
        <w:rPr>
          <w:rFonts w:hint="default"/>
          <w:color w:val="auto"/>
          <w:sz w:val="32"/>
          <w:szCs w:val="32"/>
          <w:lang w:val="en-US" w:eastAsia="zh-CN"/>
        </w:rPr>
      </w:pPr>
    </w:p>
    <w:p>
      <w:pPr>
        <w:pStyle w:val="6"/>
        <w:keepNext w:val="0"/>
        <w:keepLines w:val="0"/>
        <w:pageBreakBefore w:val="0"/>
        <w:widowControl w:val="0"/>
        <w:kinsoku/>
        <w:wordWrap/>
        <w:overflowPunct/>
        <w:topLinePunct w:val="0"/>
        <w:bidi w:val="0"/>
        <w:spacing w:line="560" w:lineRule="exact"/>
        <w:textAlignment w:val="auto"/>
        <w:rPr>
          <w:rFonts w:hint="default"/>
          <w:color w:val="auto"/>
          <w:sz w:val="32"/>
          <w:szCs w:val="32"/>
          <w:lang w:val="en-US" w:eastAsia="zh-CN"/>
        </w:rPr>
      </w:pPr>
    </w:p>
    <w:p>
      <w:pPr>
        <w:keepNext w:val="0"/>
        <w:keepLines w:val="0"/>
        <w:pageBreakBefore w:val="0"/>
        <w:widowControl w:val="0"/>
        <w:kinsoku/>
        <w:wordWrap/>
        <w:overflowPunct/>
        <w:topLinePunct w:val="0"/>
        <w:bidi w:val="0"/>
        <w:spacing w:line="560" w:lineRule="exact"/>
        <w:textAlignment w:val="auto"/>
        <w:rPr>
          <w:rFonts w:hint="default"/>
          <w:color w:val="auto"/>
          <w:sz w:val="32"/>
          <w:szCs w:val="32"/>
          <w:lang w:val="en-US" w:eastAsia="zh-CN"/>
        </w:rPr>
      </w:pPr>
    </w:p>
    <w:p>
      <w:pPr>
        <w:pStyle w:val="19"/>
        <w:keepNext w:val="0"/>
        <w:keepLines w:val="0"/>
        <w:pageBreakBefore w:val="0"/>
        <w:widowControl w:val="0"/>
        <w:kinsoku/>
        <w:wordWrap/>
        <w:overflowPunct/>
        <w:topLinePunct w:val="0"/>
        <w:bidi w:val="0"/>
        <w:spacing w:line="560" w:lineRule="exact"/>
        <w:textAlignment w:val="auto"/>
        <w:rPr>
          <w:rFonts w:hint="default"/>
          <w:color w:val="auto"/>
          <w:sz w:val="32"/>
          <w:szCs w:val="32"/>
          <w:lang w:val="en-US" w:eastAsia="zh-CN"/>
        </w:rPr>
      </w:pPr>
    </w:p>
    <w:p>
      <w:pPr>
        <w:pStyle w:val="6"/>
        <w:keepNext w:val="0"/>
        <w:keepLines w:val="0"/>
        <w:pageBreakBefore w:val="0"/>
        <w:widowControl w:val="0"/>
        <w:kinsoku/>
        <w:wordWrap/>
        <w:overflowPunct/>
        <w:topLinePunct w:val="0"/>
        <w:bidi w:val="0"/>
        <w:snapToGrid w:val="0"/>
        <w:spacing w:line="560" w:lineRule="exact"/>
        <w:textAlignment w:val="auto"/>
        <w:rPr>
          <w:rFonts w:hint="default"/>
          <w:color w:val="auto"/>
          <w:sz w:val="32"/>
          <w:szCs w:val="32"/>
          <w:lang w:val="en-US" w:eastAsia="zh-CN"/>
        </w:rPr>
      </w:pPr>
    </w:p>
    <w:p>
      <w:pPr>
        <w:keepNext w:val="0"/>
        <w:keepLines w:val="0"/>
        <w:pageBreakBefore w:val="0"/>
        <w:widowControl w:val="0"/>
        <w:kinsoku/>
        <w:wordWrap/>
        <w:overflowPunct/>
        <w:topLinePunct w:val="0"/>
        <w:bidi w:val="0"/>
        <w:snapToGrid w:val="0"/>
        <w:spacing w:line="560" w:lineRule="exact"/>
        <w:textAlignment w:val="auto"/>
        <w:rPr>
          <w:rFonts w:hint="default"/>
          <w:color w:val="auto"/>
          <w:sz w:val="32"/>
          <w:szCs w:val="32"/>
          <w:lang w:val="en-US" w:eastAsia="zh-CN"/>
        </w:rPr>
      </w:pPr>
    </w:p>
    <w:p>
      <w:pPr>
        <w:pStyle w:val="19"/>
        <w:keepNext w:val="0"/>
        <w:keepLines w:val="0"/>
        <w:pageBreakBefore w:val="0"/>
        <w:widowControl w:val="0"/>
        <w:kinsoku/>
        <w:wordWrap/>
        <w:overflowPunct/>
        <w:topLinePunct w:val="0"/>
        <w:bidi w:val="0"/>
        <w:snapToGrid w:val="0"/>
        <w:spacing w:line="560" w:lineRule="exact"/>
        <w:textAlignment w:val="auto"/>
        <w:rPr>
          <w:rFonts w:hint="default"/>
          <w:color w:val="auto"/>
          <w:sz w:val="32"/>
          <w:szCs w:val="32"/>
          <w:lang w:val="en-US" w:eastAsia="zh-CN"/>
        </w:rPr>
      </w:pPr>
    </w:p>
    <w:p>
      <w:pPr>
        <w:keepNext w:val="0"/>
        <w:keepLines w:val="0"/>
        <w:pageBreakBefore w:val="0"/>
        <w:widowControl w:val="0"/>
        <w:kinsoku/>
        <w:wordWrap/>
        <w:overflowPunct/>
        <w:topLinePunct w:val="0"/>
        <w:bidi w:val="0"/>
        <w:snapToGrid w:val="0"/>
        <w:spacing w:line="560" w:lineRule="exact"/>
        <w:textAlignment w:val="auto"/>
        <w:rPr>
          <w:rFonts w:hint="default"/>
          <w:color w:val="auto"/>
          <w:sz w:val="32"/>
          <w:szCs w:val="32"/>
          <w:lang w:val="en-US" w:eastAsia="zh-CN"/>
        </w:rPr>
      </w:pPr>
    </w:p>
    <w:p>
      <w:pPr>
        <w:pStyle w:val="2"/>
        <w:numPr>
          <w:ilvl w:val="2"/>
          <w:numId w:val="0"/>
        </w:numPr>
        <w:ind w:leftChars="0"/>
        <w:rPr>
          <w:rFonts w:hint="default"/>
          <w:color w:val="auto"/>
          <w:lang w:val="en-US" w:eastAsia="zh-CN"/>
        </w:rPr>
      </w:pPr>
    </w:p>
    <w:p>
      <w:pPr>
        <w:pStyle w:val="19"/>
        <w:keepNext w:val="0"/>
        <w:keepLines w:val="0"/>
        <w:pageBreakBefore w:val="0"/>
        <w:widowControl w:val="0"/>
        <w:kinsoku/>
        <w:wordWrap/>
        <w:overflowPunct/>
        <w:topLinePunct w:val="0"/>
        <w:bidi w:val="0"/>
        <w:snapToGrid w:val="0"/>
        <w:spacing w:line="560" w:lineRule="exact"/>
        <w:textAlignment w:val="auto"/>
        <w:rPr>
          <w:rFonts w:hint="default"/>
          <w:color w:val="auto"/>
          <w:sz w:val="32"/>
          <w:szCs w:val="32"/>
          <w:lang w:val="en-US" w:eastAsia="zh-CN"/>
        </w:rPr>
      </w:pPr>
    </w:p>
    <w:p>
      <w:pPr>
        <w:pStyle w:val="6"/>
        <w:keepNext w:val="0"/>
        <w:keepLines w:val="0"/>
        <w:pageBreakBefore w:val="0"/>
        <w:widowControl w:val="0"/>
        <w:kinsoku/>
        <w:wordWrap/>
        <w:overflowPunct/>
        <w:topLinePunct w:val="0"/>
        <w:bidi w:val="0"/>
        <w:snapToGrid w:val="0"/>
        <w:spacing w:line="560" w:lineRule="exact"/>
        <w:textAlignment w:val="auto"/>
        <w:rPr>
          <w:rFonts w:hint="default"/>
          <w:color w:val="auto"/>
          <w:sz w:val="32"/>
          <w:szCs w:val="32"/>
          <w:lang w:val="en-US" w:eastAsia="zh-CN"/>
        </w:rPr>
      </w:pPr>
    </w:p>
    <w:p>
      <w:pPr>
        <w:keepNext w:val="0"/>
        <w:keepLines w:val="0"/>
        <w:pageBreakBefore w:val="0"/>
        <w:widowControl w:val="0"/>
        <w:kinsoku/>
        <w:wordWrap/>
        <w:overflowPunct/>
        <w:topLinePunct w:val="0"/>
        <w:bidi w:val="0"/>
        <w:snapToGrid w:val="0"/>
        <w:spacing w:line="560" w:lineRule="exact"/>
        <w:textAlignment w:val="auto"/>
        <w:rPr>
          <w:rFonts w:hint="default"/>
          <w:color w:val="auto"/>
          <w:sz w:val="32"/>
          <w:szCs w:val="32"/>
          <w:lang w:val="en-US" w:eastAsia="zh-CN"/>
        </w:rPr>
      </w:pPr>
    </w:p>
    <w:p>
      <w:pPr>
        <w:pStyle w:val="7"/>
        <w:keepNext w:val="0"/>
        <w:keepLines w:val="0"/>
        <w:pageBreakBefore w:val="0"/>
        <w:widowControl w:val="0"/>
        <w:kinsoku/>
        <w:wordWrap/>
        <w:overflowPunct/>
        <w:topLinePunct w:val="0"/>
        <w:bidi w:val="0"/>
        <w:snapToGrid w:val="0"/>
        <w:spacing w:line="560" w:lineRule="exact"/>
        <w:textAlignment w:val="auto"/>
        <w:rPr>
          <w:rFonts w:hint="default"/>
          <w:color w:val="auto"/>
          <w:lang w:val="en-US" w:eastAsia="zh-CN"/>
        </w:rPr>
      </w:pPr>
    </w:p>
    <w:p>
      <w:pPr>
        <w:pStyle w:val="8"/>
        <w:keepNext w:val="0"/>
        <w:keepLines w:val="0"/>
        <w:pageBreakBefore w:val="0"/>
        <w:widowControl w:val="0"/>
        <w:kinsoku/>
        <w:wordWrap/>
        <w:overflowPunct/>
        <w:topLinePunct w:val="0"/>
        <w:bidi w:val="0"/>
        <w:snapToGrid w:val="0"/>
        <w:spacing w:line="560" w:lineRule="exact"/>
        <w:textAlignment w:val="auto"/>
        <w:rPr>
          <w:rFonts w:hint="default"/>
          <w:color w:val="auto"/>
          <w:lang w:val="en-US" w:eastAsia="zh-CN"/>
        </w:rPr>
      </w:pPr>
    </w:p>
    <w:tbl>
      <w:tblPr>
        <w:tblStyle w:val="14"/>
        <w:tblpPr w:leftFromText="180" w:rightFromText="180" w:vertAnchor="text" w:horzAnchor="page" w:tblpX="1542" w:tblpY="1709"/>
        <w:tblOverlap w:val="never"/>
        <w:tblW w:w="8820" w:type="dxa"/>
        <w:jc w:val="center"/>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820" w:type="dxa"/>
            <w:tcBorders>
              <w:top w:val="single" w:color="auto" w:sz="4" w:space="0"/>
            </w:tcBorders>
            <w:noWrap w:val="0"/>
            <w:vAlign w:val="top"/>
          </w:tcPr>
          <w:p>
            <w:pPr>
              <w:pStyle w:val="5"/>
              <w:keepNext w:val="0"/>
              <w:keepLines w:val="0"/>
              <w:pageBreakBefore w:val="0"/>
              <w:widowControl w:val="0"/>
              <w:kinsoku/>
              <w:wordWrap/>
              <w:overflowPunct/>
              <w:topLinePunct w:val="0"/>
              <w:autoSpaceDE/>
              <w:autoSpaceDN/>
              <w:bidi w:val="0"/>
              <w:adjustRightInd w:val="0"/>
              <w:snapToGrid w:val="0"/>
              <w:spacing w:line="560" w:lineRule="exact"/>
              <w:ind w:left="0" w:leftChars="0" w:firstLine="280" w:firstLineChars="100"/>
              <w:textAlignment w:val="auto"/>
              <w:rPr>
                <w:rFonts w:hint="eastAsia" w:ascii="仿宋_GB2312" w:hAnsi="仿宋_GB2312" w:eastAsia="仿宋_GB2312" w:cs="仿宋_GB2312"/>
                <w:color w:val="auto"/>
                <w:spacing w:val="0"/>
                <w:sz w:val="28"/>
                <w:szCs w:val="28"/>
                <w:lang w:eastAsia="zh-CN"/>
              </w:rPr>
            </w:pPr>
            <w:r>
              <w:rPr>
                <w:rFonts w:hint="eastAsia" w:ascii="仿宋_GB2312" w:hAnsi="仿宋_GB2312" w:eastAsia="仿宋_GB2312" w:cs="仿宋_GB2312"/>
                <w:color w:val="auto"/>
                <w:spacing w:val="0"/>
                <w:sz w:val="28"/>
                <w:szCs w:val="28"/>
              </w:rPr>
              <w:t>抄送</w:t>
            </w:r>
            <w:r>
              <w:rPr>
                <w:rFonts w:hint="eastAsia" w:ascii="仿宋_GB2312" w:hAnsi="仿宋_GB2312" w:eastAsia="仿宋_GB2312" w:cs="仿宋_GB2312"/>
                <w:color w:val="auto"/>
                <w:spacing w:val="0"/>
                <w:sz w:val="28"/>
                <w:szCs w:val="28"/>
                <w:lang w:eastAsia="zh-CN"/>
              </w:rPr>
              <w:t>：赣州市生态环境局</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820" w:type="dxa"/>
            <w:noWrap w:val="0"/>
            <w:vAlign w:val="top"/>
          </w:tcPr>
          <w:p>
            <w:pPr>
              <w:keepNext w:val="0"/>
              <w:keepLines w:val="0"/>
              <w:pageBreakBefore w:val="0"/>
              <w:widowControl w:val="0"/>
              <w:tabs>
                <w:tab w:val="left" w:pos="1080"/>
              </w:tabs>
              <w:kinsoku/>
              <w:wordWrap/>
              <w:overflowPunct/>
              <w:topLinePunct w:val="0"/>
              <w:autoSpaceDE/>
              <w:autoSpaceDN/>
              <w:bidi w:val="0"/>
              <w:spacing w:line="560" w:lineRule="exact"/>
              <w:jc w:val="center"/>
              <w:textAlignment w:val="auto"/>
              <w:rPr>
                <w:rFonts w:ascii="仿宋_GB2312" w:hAnsi="仿宋_GB2312" w:eastAsia="仿宋_GB2312" w:cs="仿宋_GB2312"/>
                <w:color w:val="auto"/>
                <w:spacing w:val="0"/>
                <w:sz w:val="28"/>
                <w:szCs w:val="28"/>
              </w:rPr>
            </w:pPr>
            <w:r>
              <w:rPr>
                <w:rFonts w:hint="eastAsia" w:ascii="仿宋_GB2312" w:eastAsia="仿宋_GB2312"/>
                <w:color w:val="auto"/>
                <w:spacing w:val="0"/>
                <w:sz w:val="28"/>
                <w:szCs w:val="28"/>
                <w:lang w:val="en-US" w:eastAsia="zh-CN"/>
              </w:rPr>
              <w:t xml:space="preserve"> </w:t>
            </w:r>
            <w:r>
              <w:rPr>
                <w:rFonts w:hint="eastAsia" w:ascii="仿宋_GB2312" w:hAnsi="仿宋_GB2312" w:eastAsia="仿宋_GB2312" w:cs="仿宋_GB2312"/>
                <w:color w:val="auto"/>
                <w:spacing w:val="0"/>
                <w:sz w:val="28"/>
                <w:szCs w:val="28"/>
                <w:lang w:val="en-US" w:eastAsia="zh-CN"/>
              </w:rPr>
              <w:t xml:space="preserve"> </w:t>
            </w:r>
            <w:r>
              <w:rPr>
                <w:rFonts w:hint="eastAsia" w:ascii="仿宋_GB2312" w:hAnsi="仿宋_GB2312" w:eastAsia="仿宋_GB2312" w:cs="仿宋_GB2312"/>
                <w:color w:val="auto"/>
                <w:spacing w:val="0"/>
                <w:sz w:val="28"/>
                <w:szCs w:val="28"/>
              </w:rPr>
              <w:t xml:space="preserve">赣州市行政审批局办公室            </w:t>
            </w:r>
            <w:r>
              <w:rPr>
                <w:rFonts w:hint="eastAsia" w:ascii="仿宋_GB2312" w:hAnsi="仿宋_GB2312" w:eastAsia="仿宋_GB2312" w:cs="仿宋_GB2312"/>
                <w:color w:val="auto"/>
                <w:spacing w:val="0"/>
                <w:sz w:val="28"/>
                <w:szCs w:val="28"/>
                <w:lang w:val="en-US" w:eastAsia="zh-CN"/>
              </w:rPr>
              <w:t xml:space="preserve">   </w:t>
            </w:r>
            <w:r>
              <w:rPr>
                <w:rFonts w:hint="eastAsia" w:ascii="仿宋_GB2312" w:hAnsi="仿宋_GB2312" w:eastAsia="仿宋_GB2312" w:cs="仿宋_GB2312"/>
                <w:color w:val="auto"/>
                <w:spacing w:val="0"/>
                <w:sz w:val="28"/>
                <w:szCs w:val="28"/>
              </w:rPr>
              <w:t>202</w:t>
            </w:r>
            <w:r>
              <w:rPr>
                <w:rFonts w:hint="eastAsia" w:ascii="仿宋_GB2312" w:hAnsi="仿宋_GB2312" w:eastAsia="仿宋_GB2312" w:cs="仿宋_GB2312"/>
                <w:color w:val="auto"/>
                <w:spacing w:val="0"/>
                <w:sz w:val="28"/>
                <w:szCs w:val="28"/>
                <w:lang w:val="en-US" w:eastAsia="zh-CN"/>
              </w:rPr>
              <w:t>5</w:t>
            </w:r>
            <w:r>
              <w:rPr>
                <w:rFonts w:hint="eastAsia" w:ascii="仿宋_GB2312" w:hAnsi="仿宋_GB2312" w:eastAsia="仿宋_GB2312" w:cs="仿宋_GB2312"/>
                <w:color w:val="auto"/>
                <w:spacing w:val="0"/>
                <w:sz w:val="28"/>
                <w:szCs w:val="28"/>
              </w:rPr>
              <w:t>年</w:t>
            </w:r>
            <w:r>
              <w:rPr>
                <w:rFonts w:hint="eastAsia" w:ascii="仿宋_GB2312" w:hAnsi="仿宋_GB2312" w:eastAsia="仿宋_GB2312" w:cs="仿宋_GB2312"/>
                <w:color w:val="auto"/>
                <w:spacing w:val="0"/>
                <w:sz w:val="28"/>
                <w:szCs w:val="28"/>
                <w:lang w:val="en-US" w:eastAsia="zh-CN"/>
              </w:rPr>
              <w:t>4</w:t>
            </w:r>
            <w:r>
              <w:rPr>
                <w:rFonts w:hint="eastAsia" w:ascii="仿宋_GB2312" w:hAnsi="仿宋_GB2312" w:eastAsia="仿宋_GB2312" w:cs="仿宋_GB2312"/>
                <w:color w:val="auto"/>
                <w:spacing w:val="0"/>
                <w:sz w:val="28"/>
                <w:szCs w:val="28"/>
              </w:rPr>
              <w:t>月</w:t>
            </w:r>
            <w:r>
              <w:rPr>
                <w:rFonts w:hint="default" w:ascii="仿宋_GB2312" w:hAnsi="仿宋_GB2312" w:eastAsia="仿宋_GB2312" w:cs="仿宋_GB2312"/>
                <w:color w:val="auto"/>
                <w:spacing w:val="0"/>
                <w:sz w:val="28"/>
                <w:szCs w:val="28"/>
                <w:lang w:val="en" w:eastAsia="zh-CN"/>
              </w:rPr>
              <w:t>22</w:t>
            </w:r>
            <w:r>
              <w:rPr>
                <w:rFonts w:hint="eastAsia" w:ascii="仿宋_GB2312" w:hAnsi="仿宋_GB2312" w:eastAsia="仿宋_GB2312" w:cs="仿宋_GB2312"/>
                <w:color w:val="auto"/>
                <w:spacing w:val="0"/>
                <w:sz w:val="28"/>
                <w:szCs w:val="28"/>
              </w:rPr>
              <w:t>日印发</w:t>
            </w:r>
          </w:p>
        </w:tc>
      </w:tr>
    </w:tbl>
    <w:p>
      <w:pPr>
        <w:pStyle w:val="3"/>
        <w:rPr>
          <w:rFonts w:hint="default"/>
          <w:color w:val="auto"/>
          <w:lang w:val="en-US" w:eastAsia="zh-CN"/>
        </w:rPr>
      </w:pPr>
    </w:p>
    <w:sectPr>
      <w:footerReference r:id="rId3" w:type="default"/>
      <w:pgSz w:w="11850" w:h="16840"/>
      <w:pgMar w:top="2098" w:right="1587" w:bottom="2098" w:left="1587" w:header="850" w:footer="170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panose1 w:val="02010600030101010101"/>
    <w:charset w:val="81"/>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Cambria">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057DD4"/>
    <w:multiLevelType w:val="multilevel"/>
    <w:tmpl w:val="33057DD4"/>
    <w:lvl w:ilvl="0" w:tentative="0">
      <w:start w:val="1"/>
      <w:numFmt w:val="decimal"/>
      <w:suff w:val="space"/>
      <w:lvlText w:val="%1"/>
      <w:lvlJc w:val="left"/>
      <w:pPr>
        <w:tabs>
          <w:tab w:val="left" w:pos="420"/>
        </w:tabs>
        <w:ind w:left="0" w:firstLine="0"/>
      </w:pPr>
      <w:rPr>
        <w:rFonts w:hint="default" w:ascii="Times New Roman" w:hAnsi="Times New Roman" w:eastAsia="宋体" w:cs="宋体"/>
      </w:rPr>
    </w:lvl>
    <w:lvl w:ilvl="1" w:tentative="0">
      <w:start w:val="1"/>
      <w:numFmt w:val="decimal"/>
      <w:suff w:val="space"/>
      <w:lvlText w:val="%1.%2"/>
      <w:lvlJc w:val="left"/>
      <w:pPr>
        <w:tabs>
          <w:tab w:val="left" w:pos="420"/>
        </w:tabs>
        <w:ind w:left="0" w:firstLine="0"/>
      </w:pPr>
      <w:rPr>
        <w:rFonts w:hint="default" w:ascii="Times New Roman" w:hAnsi="Times New Roman" w:eastAsia="宋体" w:cs="宋体"/>
      </w:rPr>
    </w:lvl>
    <w:lvl w:ilvl="2" w:tentative="0">
      <w:start w:val="1"/>
      <w:numFmt w:val="decimal"/>
      <w:pStyle w:val="2"/>
      <w:suff w:val="space"/>
      <w:lvlText w:val="%1.%2.%3"/>
      <w:lvlJc w:val="left"/>
      <w:pPr>
        <w:tabs>
          <w:tab w:val="left" w:pos="420"/>
        </w:tabs>
        <w:ind w:left="0" w:firstLine="0"/>
      </w:pPr>
      <w:rPr>
        <w:rFonts w:hint="default" w:ascii="Times New Roman" w:hAnsi="Times New Roman" w:eastAsia="宋体" w:cs="宋体"/>
      </w:rPr>
    </w:lvl>
    <w:lvl w:ilvl="3" w:tentative="0">
      <w:start w:val="1"/>
      <w:numFmt w:val="decimal"/>
      <w:suff w:val="space"/>
      <w:lvlText w:val="%1.%2.%3.%4"/>
      <w:lvlJc w:val="left"/>
      <w:pPr>
        <w:tabs>
          <w:tab w:val="left" w:pos="420"/>
        </w:tabs>
        <w:ind w:left="0" w:firstLine="0"/>
      </w:pPr>
      <w:rPr>
        <w:rFonts w:hint="default" w:ascii="Times New Roman" w:hAnsi="Times New Roman"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NotTrackMoves/>
  <w:documentProtection w:enforcement="0"/>
  <w:defaultTabStop w:val="420"/>
  <w:doNotHyphenateCaps/>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iZjkzYWZmNTcxNDE5NTcyYmI5YzhhMTM0Zjc1ZDQifQ=="/>
  </w:docVars>
  <w:rsids>
    <w:rsidRoot w:val="2026135D"/>
    <w:rsid w:val="00010967"/>
    <w:rsid w:val="00070D04"/>
    <w:rsid w:val="00073497"/>
    <w:rsid w:val="00080669"/>
    <w:rsid w:val="00080ACE"/>
    <w:rsid w:val="000822A0"/>
    <w:rsid w:val="00097874"/>
    <w:rsid w:val="000A3B20"/>
    <w:rsid w:val="000B425C"/>
    <w:rsid w:val="000E0745"/>
    <w:rsid w:val="000E62C6"/>
    <w:rsid w:val="000F6573"/>
    <w:rsid w:val="00103ADE"/>
    <w:rsid w:val="00111327"/>
    <w:rsid w:val="00117794"/>
    <w:rsid w:val="001214FE"/>
    <w:rsid w:val="0013121D"/>
    <w:rsid w:val="001416D1"/>
    <w:rsid w:val="001613FB"/>
    <w:rsid w:val="00175E80"/>
    <w:rsid w:val="0019152C"/>
    <w:rsid w:val="001A13FC"/>
    <w:rsid w:val="001A6DD8"/>
    <w:rsid w:val="001B0EBE"/>
    <w:rsid w:val="001C4842"/>
    <w:rsid w:val="001D1FBE"/>
    <w:rsid w:val="001D3F78"/>
    <w:rsid w:val="001E0F7F"/>
    <w:rsid w:val="001E1E11"/>
    <w:rsid w:val="001E6924"/>
    <w:rsid w:val="002006B2"/>
    <w:rsid w:val="00203242"/>
    <w:rsid w:val="00204038"/>
    <w:rsid w:val="0022010D"/>
    <w:rsid w:val="00257918"/>
    <w:rsid w:val="00273C9F"/>
    <w:rsid w:val="002B1DCC"/>
    <w:rsid w:val="002C0EA9"/>
    <w:rsid w:val="002D031A"/>
    <w:rsid w:val="002D7F9D"/>
    <w:rsid w:val="002E1F9C"/>
    <w:rsid w:val="002E6111"/>
    <w:rsid w:val="002F162B"/>
    <w:rsid w:val="002F52C7"/>
    <w:rsid w:val="00316E5F"/>
    <w:rsid w:val="00321A79"/>
    <w:rsid w:val="00326A1C"/>
    <w:rsid w:val="003350B4"/>
    <w:rsid w:val="00342A55"/>
    <w:rsid w:val="00344DC8"/>
    <w:rsid w:val="00352F03"/>
    <w:rsid w:val="00355F08"/>
    <w:rsid w:val="003568E8"/>
    <w:rsid w:val="00374BF9"/>
    <w:rsid w:val="0037640A"/>
    <w:rsid w:val="003823BD"/>
    <w:rsid w:val="0038363D"/>
    <w:rsid w:val="00396E12"/>
    <w:rsid w:val="003A3C43"/>
    <w:rsid w:val="003B1C86"/>
    <w:rsid w:val="003B2D47"/>
    <w:rsid w:val="003D6B4F"/>
    <w:rsid w:val="003D70C8"/>
    <w:rsid w:val="003E0FC0"/>
    <w:rsid w:val="003E408E"/>
    <w:rsid w:val="00404CF5"/>
    <w:rsid w:val="00410576"/>
    <w:rsid w:val="0046233C"/>
    <w:rsid w:val="004769B2"/>
    <w:rsid w:val="004E25C7"/>
    <w:rsid w:val="004F15DC"/>
    <w:rsid w:val="00506F61"/>
    <w:rsid w:val="00507C23"/>
    <w:rsid w:val="00507FB6"/>
    <w:rsid w:val="005117CF"/>
    <w:rsid w:val="00515801"/>
    <w:rsid w:val="00516FE0"/>
    <w:rsid w:val="00546D46"/>
    <w:rsid w:val="00555ACF"/>
    <w:rsid w:val="005846B6"/>
    <w:rsid w:val="00585FB1"/>
    <w:rsid w:val="005B20AF"/>
    <w:rsid w:val="005B2EA3"/>
    <w:rsid w:val="005B3005"/>
    <w:rsid w:val="005C7A78"/>
    <w:rsid w:val="005E3E6A"/>
    <w:rsid w:val="00601A34"/>
    <w:rsid w:val="00641FDA"/>
    <w:rsid w:val="00655A0C"/>
    <w:rsid w:val="00670679"/>
    <w:rsid w:val="00681F8F"/>
    <w:rsid w:val="006867D0"/>
    <w:rsid w:val="006B1B43"/>
    <w:rsid w:val="006C00FA"/>
    <w:rsid w:val="006D4086"/>
    <w:rsid w:val="006E0DFD"/>
    <w:rsid w:val="006E1148"/>
    <w:rsid w:val="006E36A8"/>
    <w:rsid w:val="006F6EC3"/>
    <w:rsid w:val="00702718"/>
    <w:rsid w:val="0070393C"/>
    <w:rsid w:val="00707382"/>
    <w:rsid w:val="00741BC9"/>
    <w:rsid w:val="00743990"/>
    <w:rsid w:val="00750455"/>
    <w:rsid w:val="0075454A"/>
    <w:rsid w:val="00765C72"/>
    <w:rsid w:val="00766C20"/>
    <w:rsid w:val="00792C4A"/>
    <w:rsid w:val="007936F7"/>
    <w:rsid w:val="007D43DA"/>
    <w:rsid w:val="007D6EF1"/>
    <w:rsid w:val="007E2B69"/>
    <w:rsid w:val="007F0D06"/>
    <w:rsid w:val="007F1B0D"/>
    <w:rsid w:val="00805407"/>
    <w:rsid w:val="00811745"/>
    <w:rsid w:val="008212BA"/>
    <w:rsid w:val="0086493A"/>
    <w:rsid w:val="00880033"/>
    <w:rsid w:val="00881224"/>
    <w:rsid w:val="008813BF"/>
    <w:rsid w:val="0088486F"/>
    <w:rsid w:val="008A1120"/>
    <w:rsid w:val="008A1732"/>
    <w:rsid w:val="008A5139"/>
    <w:rsid w:val="008B2FC6"/>
    <w:rsid w:val="008D7254"/>
    <w:rsid w:val="0093766C"/>
    <w:rsid w:val="00951650"/>
    <w:rsid w:val="00967115"/>
    <w:rsid w:val="0099594E"/>
    <w:rsid w:val="009A3E67"/>
    <w:rsid w:val="009A4CB3"/>
    <w:rsid w:val="009B1468"/>
    <w:rsid w:val="009C133E"/>
    <w:rsid w:val="009C492D"/>
    <w:rsid w:val="009C4FF1"/>
    <w:rsid w:val="009D4D00"/>
    <w:rsid w:val="009D5D38"/>
    <w:rsid w:val="009E47FD"/>
    <w:rsid w:val="009F603C"/>
    <w:rsid w:val="00A06CB9"/>
    <w:rsid w:val="00A06D5C"/>
    <w:rsid w:val="00A21DAE"/>
    <w:rsid w:val="00A26FF2"/>
    <w:rsid w:val="00A304FA"/>
    <w:rsid w:val="00A31E7E"/>
    <w:rsid w:val="00A33B79"/>
    <w:rsid w:val="00A34D4F"/>
    <w:rsid w:val="00A622FD"/>
    <w:rsid w:val="00A651D8"/>
    <w:rsid w:val="00A7575C"/>
    <w:rsid w:val="00A96088"/>
    <w:rsid w:val="00AA34AC"/>
    <w:rsid w:val="00AB14B9"/>
    <w:rsid w:val="00AB703E"/>
    <w:rsid w:val="00AC460B"/>
    <w:rsid w:val="00AF6772"/>
    <w:rsid w:val="00B305B4"/>
    <w:rsid w:val="00B403AF"/>
    <w:rsid w:val="00B5536F"/>
    <w:rsid w:val="00B553EB"/>
    <w:rsid w:val="00B63563"/>
    <w:rsid w:val="00B71A64"/>
    <w:rsid w:val="00B71F7D"/>
    <w:rsid w:val="00B84F93"/>
    <w:rsid w:val="00B928C2"/>
    <w:rsid w:val="00B96389"/>
    <w:rsid w:val="00B968E3"/>
    <w:rsid w:val="00BA10D3"/>
    <w:rsid w:val="00BA5841"/>
    <w:rsid w:val="00BA5EE3"/>
    <w:rsid w:val="00BB57BA"/>
    <w:rsid w:val="00BC50A3"/>
    <w:rsid w:val="00BD167E"/>
    <w:rsid w:val="00BE6E4B"/>
    <w:rsid w:val="00BF4A18"/>
    <w:rsid w:val="00C1788D"/>
    <w:rsid w:val="00C26F46"/>
    <w:rsid w:val="00C320BB"/>
    <w:rsid w:val="00C338CF"/>
    <w:rsid w:val="00C341A1"/>
    <w:rsid w:val="00C43432"/>
    <w:rsid w:val="00C50289"/>
    <w:rsid w:val="00C50CF4"/>
    <w:rsid w:val="00C601DD"/>
    <w:rsid w:val="00C77272"/>
    <w:rsid w:val="00C94F27"/>
    <w:rsid w:val="00CA42E0"/>
    <w:rsid w:val="00CA779C"/>
    <w:rsid w:val="00CB39D1"/>
    <w:rsid w:val="00CB4000"/>
    <w:rsid w:val="00CB61B9"/>
    <w:rsid w:val="00CC26F6"/>
    <w:rsid w:val="00CC5D08"/>
    <w:rsid w:val="00CE569B"/>
    <w:rsid w:val="00D00AFE"/>
    <w:rsid w:val="00D04DB9"/>
    <w:rsid w:val="00D14A09"/>
    <w:rsid w:val="00D15371"/>
    <w:rsid w:val="00D41139"/>
    <w:rsid w:val="00D5622A"/>
    <w:rsid w:val="00D62E93"/>
    <w:rsid w:val="00D86E8E"/>
    <w:rsid w:val="00D96C9B"/>
    <w:rsid w:val="00DB3FA5"/>
    <w:rsid w:val="00DB4C86"/>
    <w:rsid w:val="00DD73B5"/>
    <w:rsid w:val="00DD7DDD"/>
    <w:rsid w:val="00DF25BD"/>
    <w:rsid w:val="00E02FA9"/>
    <w:rsid w:val="00E05EE3"/>
    <w:rsid w:val="00E243E1"/>
    <w:rsid w:val="00E450EA"/>
    <w:rsid w:val="00E5275E"/>
    <w:rsid w:val="00E82869"/>
    <w:rsid w:val="00E964BB"/>
    <w:rsid w:val="00EA1F25"/>
    <w:rsid w:val="00EB1965"/>
    <w:rsid w:val="00EB48F2"/>
    <w:rsid w:val="00EC5D8C"/>
    <w:rsid w:val="00ED039D"/>
    <w:rsid w:val="00ED372E"/>
    <w:rsid w:val="00ED76B3"/>
    <w:rsid w:val="00EE5C3D"/>
    <w:rsid w:val="00EF4833"/>
    <w:rsid w:val="00EF4DDB"/>
    <w:rsid w:val="00EF5185"/>
    <w:rsid w:val="00EF7D3A"/>
    <w:rsid w:val="00F10EA2"/>
    <w:rsid w:val="00F34A51"/>
    <w:rsid w:val="00F456C3"/>
    <w:rsid w:val="00F61CFE"/>
    <w:rsid w:val="00F63616"/>
    <w:rsid w:val="00F63A2D"/>
    <w:rsid w:val="00F70B87"/>
    <w:rsid w:val="00F843A5"/>
    <w:rsid w:val="00F91040"/>
    <w:rsid w:val="00FB451C"/>
    <w:rsid w:val="00FB502E"/>
    <w:rsid w:val="00FC1213"/>
    <w:rsid w:val="00FC1939"/>
    <w:rsid w:val="00FC4FFE"/>
    <w:rsid w:val="00FC7EA2"/>
    <w:rsid w:val="00FD433D"/>
    <w:rsid w:val="00FF2370"/>
    <w:rsid w:val="010F7FF3"/>
    <w:rsid w:val="01142EDD"/>
    <w:rsid w:val="0115734B"/>
    <w:rsid w:val="013712F7"/>
    <w:rsid w:val="01534CE5"/>
    <w:rsid w:val="016E124A"/>
    <w:rsid w:val="01AD5116"/>
    <w:rsid w:val="01AF0E8E"/>
    <w:rsid w:val="01B12E58"/>
    <w:rsid w:val="01F114A6"/>
    <w:rsid w:val="030D0562"/>
    <w:rsid w:val="0382007E"/>
    <w:rsid w:val="03A42389"/>
    <w:rsid w:val="03BF2D41"/>
    <w:rsid w:val="03CD1A9F"/>
    <w:rsid w:val="04826D2E"/>
    <w:rsid w:val="059B1E55"/>
    <w:rsid w:val="05A73FFF"/>
    <w:rsid w:val="05E76E48"/>
    <w:rsid w:val="06986FA8"/>
    <w:rsid w:val="06A22338"/>
    <w:rsid w:val="06AC19B7"/>
    <w:rsid w:val="06AC7AB0"/>
    <w:rsid w:val="06BF7DC5"/>
    <w:rsid w:val="06CD24E2"/>
    <w:rsid w:val="06E7577A"/>
    <w:rsid w:val="073357DB"/>
    <w:rsid w:val="07372051"/>
    <w:rsid w:val="074A3B33"/>
    <w:rsid w:val="07B21EF8"/>
    <w:rsid w:val="07D75D7B"/>
    <w:rsid w:val="081B54CF"/>
    <w:rsid w:val="0834358C"/>
    <w:rsid w:val="08784BD8"/>
    <w:rsid w:val="090C1388"/>
    <w:rsid w:val="09120680"/>
    <w:rsid w:val="095011A8"/>
    <w:rsid w:val="09896897"/>
    <w:rsid w:val="09B11517"/>
    <w:rsid w:val="0A8B70FE"/>
    <w:rsid w:val="0AC260D6"/>
    <w:rsid w:val="0B2C1672"/>
    <w:rsid w:val="0B920D06"/>
    <w:rsid w:val="0BED68E3"/>
    <w:rsid w:val="0BF250B4"/>
    <w:rsid w:val="0C360B29"/>
    <w:rsid w:val="0C851169"/>
    <w:rsid w:val="0CCC4FEA"/>
    <w:rsid w:val="0CE75980"/>
    <w:rsid w:val="0CFC6FAE"/>
    <w:rsid w:val="0D411534"/>
    <w:rsid w:val="0D7A26DA"/>
    <w:rsid w:val="0DB7421F"/>
    <w:rsid w:val="0DFA624C"/>
    <w:rsid w:val="0E0607B8"/>
    <w:rsid w:val="0E4806A0"/>
    <w:rsid w:val="0EAF6500"/>
    <w:rsid w:val="0EE21E54"/>
    <w:rsid w:val="0F340C24"/>
    <w:rsid w:val="0F3A7793"/>
    <w:rsid w:val="0F7BDF39"/>
    <w:rsid w:val="0FDD12BC"/>
    <w:rsid w:val="0FFFD1AE"/>
    <w:rsid w:val="10584709"/>
    <w:rsid w:val="10A67900"/>
    <w:rsid w:val="10A91335"/>
    <w:rsid w:val="10F93ED3"/>
    <w:rsid w:val="11560AFF"/>
    <w:rsid w:val="11625F1D"/>
    <w:rsid w:val="1170063A"/>
    <w:rsid w:val="11EC4B31"/>
    <w:rsid w:val="12034890"/>
    <w:rsid w:val="1246498F"/>
    <w:rsid w:val="128B3251"/>
    <w:rsid w:val="12CB18A0"/>
    <w:rsid w:val="13182D37"/>
    <w:rsid w:val="13620456"/>
    <w:rsid w:val="13AB3BAB"/>
    <w:rsid w:val="13EB044B"/>
    <w:rsid w:val="14376AD0"/>
    <w:rsid w:val="14425371"/>
    <w:rsid w:val="144B7E44"/>
    <w:rsid w:val="14661880"/>
    <w:rsid w:val="147A532B"/>
    <w:rsid w:val="154931BD"/>
    <w:rsid w:val="15DE18EA"/>
    <w:rsid w:val="15E92239"/>
    <w:rsid w:val="162B590D"/>
    <w:rsid w:val="163A3D91"/>
    <w:rsid w:val="165C6A9D"/>
    <w:rsid w:val="167F4E7B"/>
    <w:rsid w:val="16C2306E"/>
    <w:rsid w:val="16CF5E02"/>
    <w:rsid w:val="16EEE744"/>
    <w:rsid w:val="17375756"/>
    <w:rsid w:val="176BF606"/>
    <w:rsid w:val="17BB6387"/>
    <w:rsid w:val="18003D99"/>
    <w:rsid w:val="18113658"/>
    <w:rsid w:val="18714C97"/>
    <w:rsid w:val="18893D8F"/>
    <w:rsid w:val="189F35B2"/>
    <w:rsid w:val="18EA25F8"/>
    <w:rsid w:val="18ED07C2"/>
    <w:rsid w:val="191C397B"/>
    <w:rsid w:val="19445428"/>
    <w:rsid w:val="1A55254F"/>
    <w:rsid w:val="1AD0039B"/>
    <w:rsid w:val="1ADF413A"/>
    <w:rsid w:val="1B326960"/>
    <w:rsid w:val="1B42017F"/>
    <w:rsid w:val="1C1F0D18"/>
    <w:rsid w:val="1C41145A"/>
    <w:rsid w:val="1CBC481B"/>
    <w:rsid w:val="1D1D0F4A"/>
    <w:rsid w:val="1D556BE9"/>
    <w:rsid w:val="1DB418AE"/>
    <w:rsid w:val="1DC75A85"/>
    <w:rsid w:val="1E18008F"/>
    <w:rsid w:val="1E6C5640"/>
    <w:rsid w:val="1E75520D"/>
    <w:rsid w:val="1EF83A1C"/>
    <w:rsid w:val="1F134CFA"/>
    <w:rsid w:val="1F2667DB"/>
    <w:rsid w:val="1F466649"/>
    <w:rsid w:val="1F4D1FBA"/>
    <w:rsid w:val="1F5C0B91"/>
    <w:rsid w:val="1F6238D5"/>
    <w:rsid w:val="1FB65DB1"/>
    <w:rsid w:val="1FEF195C"/>
    <w:rsid w:val="20082F7A"/>
    <w:rsid w:val="2026135D"/>
    <w:rsid w:val="20272B1E"/>
    <w:rsid w:val="20711CD8"/>
    <w:rsid w:val="20A0611A"/>
    <w:rsid w:val="20C51E36"/>
    <w:rsid w:val="215A09BE"/>
    <w:rsid w:val="220D1CE9"/>
    <w:rsid w:val="22322B8E"/>
    <w:rsid w:val="223843AC"/>
    <w:rsid w:val="22784310"/>
    <w:rsid w:val="227B5090"/>
    <w:rsid w:val="22931200"/>
    <w:rsid w:val="22AA14D2"/>
    <w:rsid w:val="22CD6F6E"/>
    <w:rsid w:val="23203C6C"/>
    <w:rsid w:val="237F64BA"/>
    <w:rsid w:val="247C0C4C"/>
    <w:rsid w:val="24E567F1"/>
    <w:rsid w:val="24FB7DC2"/>
    <w:rsid w:val="252F5CBE"/>
    <w:rsid w:val="25C943E4"/>
    <w:rsid w:val="25CDF731"/>
    <w:rsid w:val="25DD396C"/>
    <w:rsid w:val="26A95BB2"/>
    <w:rsid w:val="26DB33C3"/>
    <w:rsid w:val="26E256DE"/>
    <w:rsid w:val="27277595"/>
    <w:rsid w:val="275B0773"/>
    <w:rsid w:val="279D1605"/>
    <w:rsid w:val="27BC2C3B"/>
    <w:rsid w:val="283360E3"/>
    <w:rsid w:val="28495CA9"/>
    <w:rsid w:val="28752F50"/>
    <w:rsid w:val="287B41CF"/>
    <w:rsid w:val="28916A79"/>
    <w:rsid w:val="28A864B3"/>
    <w:rsid w:val="28AC3A6A"/>
    <w:rsid w:val="28B65F4B"/>
    <w:rsid w:val="28C833AA"/>
    <w:rsid w:val="28CB3C8E"/>
    <w:rsid w:val="29092414"/>
    <w:rsid w:val="294B6AF2"/>
    <w:rsid w:val="2969066C"/>
    <w:rsid w:val="297F1AF6"/>
    <w:rsid w:val="298858C4"/>
    <w:rsid w:val="298B44AA"/>
    <w:rsid w:val="2A135C3B"/>
    <w:rsid w:val="2B0D0850"/>
    <w:rsid w:val="2B4B002B"/>
    <w:rsid w:val="2B646EAC"/>
    <w:rsid w:val="2B794137"/>
    <w:rsid w:val="2C1D4AC2"/>
    <w:rsid w:val="2C334758"/>
    <w:rsid w:val="2C9C1E8B"/>
    <w:rsid w:val="2CA41E10"/>
    <w:rsid w:val="2CE573F6"/>
    <w:rsid w:val="2CEA3C2D"/>
    <w:rsid w:val="2CFF846F"/>
    <w:rsid w:val="2D642E57"/>
    <w:rsid w:val="2D8F0DFF"/>
    <w:rsid w:val="2DAB1B97"/>
    <w:rsid w:val="2DD6761F"/>
    <w:rsid w:val="2E0B0291"/>
    <w:rsid w:val="2E0D3BE7"/>
    <w:rsid w:val="2E401CF9"/>
    <w:rsid w:val="2E9565B5"/>
    <w:rsid w:val="2EDD7D9A"/>
    <w:rsid w:val="2F307156"/>
    <w:rsid w:val="2F414F6C"/>
    <w:rsid w:val="2F5E167A"/>
    <w:rsid w:val="2F66283F"/>
    <w:rsid w:val="2F9A7789"/>
    <w:rsid w:val="2FAC4ADB"/>
    <w:rsid w:val="2FB614B6"/>
    <w:rsid w:val="2FE51D9B"/>
    <w:rsid w:val="2FEF542C"/>
    <w:rsid w:val="30A9726C"/>
    <w:rsid w:val="30C3651F"/>
    <w:rsid w:val="30C9346B"/>
    <w:rsid w:val="31284FA4"/>
    <w:rsid w:val="31B163D9"/>
    <w:rsid w:val="31B45656"/>
    <w:rsid w:val="31E06CBE"/>
    <w:rsid w:val="31E37594"/>
    <w:rsid w:val="32427031"/>
    <w:rsid w:val="32511F89"/>
    <w:rsid w:val="325271F1"/>
    <w:rsid w:val="325D20BC"/>
    <w:rsid w:val="329D4BAF"/>
    <w:rsid w:val="32A0644D"/>
    <w:rsid w:val="333077D1"/>
    <w:rsid w:val="33336758"/>
    <w:rsid w:val="33986653"/>
    <w:rsid w:val="33ED720B"/>
    <w:rsid w:val="33FE593E"/>
    <w:rsid w:val="347E6618"/>
    <w:rsid w:val="34967B08"/>
    <w:rsid w:val="34B166F0"/>
    <w:rsid w:val="34B63459"/>
    <w:rsid w:val="34EB5D33"/>
    <w:rsid w:val="352F2C9C"/>
    <w:rsid w:val="35432E79"/>
    <w:rsid w:val="356F3DDD"/>
    <w:rsid w:val="35843E04"/>
    <w:rsid w:val="35C30488"/>
    <w:rsid w:val="35CD47BD"/>
    <w:rsid w:val="360A255B"/>
    <w:rsid w:val="36BA5D2F"/>
    <w:rsid w:val="371371EE"/>
    <w:rsid w:val="372922FA"/>
    <w:rsid w:val="37346E52"/>
    <w:rsid w:val="374D4A27"/>
    <w:rsid w:val="3801798E"/>
    <w:rsid w:val="380A6E64"/>
    <w:rsid w:val="384B29B7"/>
    <w:rsid w:val="388E09EB"/>
    <w:rsid w:val="38B920F5"/>
    <w:rsid w:val="38C56C0D"/>
    <w:rsid w:val="38CC7F9C"/>
    <w:rsid w:val="38D20E87"/>
    <w:rsid w:val="39583269"/>
    <w:rsid w:val="397E0AF5"/>
    <w:rsid w:val="398B39B3"/>
    <w:rsid w:val="3A092B2A"/>
    <w:rsid w:val="3A1F1C46"/>
    <w:rsid w:val="3A2D1FEF"/>
    <w:rsid w:val="3A4D07D2"/>
    <w:rsid w:val="3A793461"/>
    <w:rsid w:val="3AD24FF4"/>
    <w:rsid w:val="3AD44EE6"/>
    <w:rsid w:val="3B03629F"/>
    <w:rsid w:val="3B2714BA"/>
    <w:rsid w:val="3B2E245F"/>
    <w:rsid w:val="3B6210C9"/>
    <w:rsid w:val="3B991D68"/>
    <w:rsid w:val="3BE850ED"/>
    <w:rsid w:val="3BFD08D7"/>
    <w:rsid w:val="3D25600C"/>
    <w:rsid w:val="3D5B53B5"/>
    <w:rsid w:val="3DAC214A"/>
    <w:rsid w:val="3DBF01E1"/>
    <w:rsid w:val="3E175ED6"/>
    <w:rsid w:val="3E2241BA"/>
    <w:rsid w:val="3E7A75E8"/>
    <w:rsid w:val="3E936041"/>
    <w:rsid w:val="3EA97578"/>
    <w:rsid w:val="3ECF4342"/>
    <w:rsid w:val="3EEC59C1"/>
    <w:rsid w:val="3EFD383E"/>
    <w:rsid w:val="3F057F47"/>
    <w:rsid w:val="3F3348D1"/>
    <w:rsid w:val="3FC940A7"/>
    <w:rsid w:val="3FDFD0D2"/>
    <w:rsid w:val="3FE27238"/>
    <w:rsid w:val="40363505"/>
    <w:rsid w:val="40896772"/>
    <w:rsid w:val="40B25CC9"/>
    <w:rsid w:val="411B2263"/>
    <w:rsid w:val="41780696"/>
    <w:rsid w:val="418A20D9"/>
    <w:rsid w:val="419E624E"/>
    <w:rsid w:val="41CF6EFC"/>
    <w:rsid w:val="41DA54D8"/>
    <w:rsid w:val="42291FBB"/>
    <w:rsid w:val="422B5D33"/>
    <w:rsid w:val="422B5E8E"/>
    <w:rsid w:val="4258464E"/>
    <w:rsid w:val="426726CC"/>
    <w:rsid w:val="427D7690"/>
    <w:rsid w:val="4347676B"/>
    <w:rsid w:val="43CC2423"/>
    <w:rsid w:val="43E063DB"/>
    <w:rsid w:val="43F0285A"/>
    <w:rsid w:val="43FA1172"/>
    <w:rsid w:val="441B5933"/>
    <w:rsid w:val="445C47A6"/>
    <w:rsid w:val="44E67CEF"/>
    <w:rsid w:val="451A208F"/>
    <w:rsid w:val="458A2D71"/>
    <w:rsid w:val="45AF0A29"/>
    <w:rsid w:val="45C049E4"/>
    <w:rsid w:val="465858B5"/>
    <w:rsid w:val="469F45FA"/>
    <w:rsid w:val="47C63E08"/>
    <w:rsid w:val="47DA3F81"/>
    <w:rsid w:val="47E9425C"/>
    <w:rsid w:val="47FCEFE2"/>
    <w:rsid w:val="481F22C0"/>
    <w:rsid w:val="4856518C"/>
    <w:rsid w:val="48E629B4"/>
    <w:rsid w:val="494C4077"/>
    <w:rsid w:val="49543DC1"/>
    <w:rsid w:val="4A930919"/>
    <w:rsid w:val="4AD68C70"/>
    <w:rsid w:val="4AE3522A"/>
    <w:rsid w:val="4AF40C8C"/>
    <w:rsid w:val="4B157580"/>
    <w:rsid w:val="4B1FDD51"/>
    <w:rsid w:val="4B3B1B97"/>
    <w:rsid w:val="4B447E66"/>
    <w:rsid w:val="4B4B2FA2"/>
    <w:rsid w:val="4B871B00"/>
    <w:rsid w:val="4BC845F3"/>
    <w:rsid w:val="4BD0700B"/>
    <w:rsid w:val="4CA16980"/>
    <w:rsid w:val="4CB66B41"/>
    <w:rsid w:val="4CE0771A"/>
    <w:rsid w:val="4D77047A"/>
    <w:rsid w:val="4D9969C5"/>
    <w:rsid w:val="4DDF2DAF"/>
    <w:rsid w:val="4DDF57D6"/>
    <w:rsid w:val="4DEF82A4"/>
    <w:rsid w:val="4EFE773B"/>
    <w:rsid w:val="4F4E12B3"/>
    <w:rsid w:val="4F701229"/>
    <w:rsid w:val="4F8B46D5"/>
    <w:rsid w:val="4F98252E"/>
    <w:rsid w:val="4FDD57B1"/>
    <w:rsid w:val="4FF0236A"/>
    <w:rsid w:val="50364344"/>
    <w:rsid w:val="50461F8A"/>
    <w:rsid w:val="504A149A"/>
    <w:rsid w:val="510D4E75"/>
    <w:rsid w:val="51B95DFD"/>
    <w:rsid w:val="51FD48CA"/>
    <w:rsid w:val="52156521"/>
    <w:rsid w:val="530A3743"/>
    <w:rsid w:val="534F55FA"/>
    <w:rsid w:val="536A5F90"/>
    <w:rsid w:val="537B2BBF"/>
    <w:rsid w:val="538057B3"/>
    <w:rsid w:val="53F1045F"/>
    <w:rsid w:val="5415239F"/>
    <w:rsid w:val="54295E4B"/>
    <w:rsid w:val="543740E1"/>
    <w:rsid w:val="544F0908"/>
    <w:rsid w:val="54722822"/>
    <w:rsid w:val="548D462B"/>
    <w:rsid w:val="54B71AF6"/>
    <w:rsid w:val="54D46CAC"/>
    <w:rsid w:val="54EA0C4E"/>
    <w:rsid w:val="550541C2"/>
    <w:rsid w:val="55083996"/>
    <w:rsid w:val="551E385D"/>
    <w:rsid w:val="5563713A"/>
    <w:rsid w:val="558B42D3"/>
    <w:rsid w:val="55A600EB"/>
    <w:rsid w:val="55AE44A7"/>
    <w:rsid w:val="55E42029"/>
    <w:rsid w:val="55FF50B5"/>
    <w:rsid w:val="568B4B9B"/>
    <w:rsid w:val="56D025AE"/>
    <w:rsid w:val="56F73FDE"/>
    <w:rsid w:val="56FFBA56"/>
    <w:rsid w:val="57160908"/>
    <w:rsid w:val="578264F1"/>
    <w:rsid w:val="57E06AAD"/>
    <w:rsid w:val="57FE5E7B"/>
    <w:rsid w:val="580E7831"/>
    <w:rsid w:val="58184CE6"/>
    <w:rsid w:val="583354EA"/>
    <w:rsid w:val="59605E6B"/>
    <w:rsid w:val="59614DEF"/>
    <w:rsid w:val="5AF760A0"/>
    <w:rsid w:val="5B3F5F54"/>
    <w:rsid w:val="5B4812AC"/>
    <w:rsid w:val="5B8175B1"/>
    <w:rsid w:val="5BFC3513"/>
    <w:rsid w:val="5C1B076F"/>
    <w:rsid w:val="5CC86C3D"/>
    <w:rsid w:val="5D6B74D4"/>
    <w:rsid w:val="5D852344"/>
    <w:rsid w:val="5DDB3F75"/>
    <w:rsid w:val="5DFD8044"/>
    <w:rsid w:val="5E091251"/>
    <w:rsid w:val="5EB573B2"/>
    <w:rsid w:val="5EDBAB48"/>
    <w:rsid w:val="5F3F5FB9"/>
    <w:rsid w:val="5F681F1D"/>
    <w:rsid w:val="5F7260D5"/>
    <w:rsid w:val="5F9C5723"/>
    <w:rsid w:val="5FBF60DA"/>
    <w:rsid w:val="5FCF8E9A"/>
    <w:rsid w:val="5FDBD681"/>
    <w:rsid w:val="5FFEC4C0"/>
    <w:rsid w:val="5FFF636F"/>
    <w:rsid w:val="60476EE7"/>
    <w:rsid w:val="60CA4666"/>
    <w:rsid w:val="60E90E3C"/>
    <w:rsid w:val="611834CF"/>
    <w:rsid w:val="615838CB"/>
    <w:rsid w:val="61952D71"/>
    <w:rsid w:val="61C329CC"/>
    <w:rsid w:val="61CB6468"/>
    <w:rsid w:val="61EF6CA1"/>
    <w:rsid w:val="62053A53"/>
    <w:rsid w:val="623936FD"/>
    <w:rsid w:val="626C3AD2"/>
    <w:rsid w:val="62917095"/>
    <w:rsid w:val="630F636A"/>
    <w:rsid w:val="633640E0"/>
    <w:rsid w:val="637553C3"/>
    <w:rsid w:val="63CF21C3"/>
    <w:rsid w:val="63CF717F"/>
    <w:rsid w:val="63F17642"/>
    <w:rsid w:val="64144421"/>
    <w:rsid w:val="644B5969"/>
    <w:rsid w:val="647849A9"/>
    <w:rsid w:val="6487050C"/>
    <w:rsid w:val="648F3705"/>
    <w:rsid w:val="65FA5FAF"/>
    <w:rsid w:val="661D2107"/>
    <w:rsid w:val="66304E17"/>
    <w:rsid w:val="665E065D"/>
    <w:rsid w:val="66A51361"/>
    <w:rsid w:val="66C76274"/>
    <w:rsid w:val="66D9199A"/>
    <w:rsid w:val="66DD3010"/>
    <w:rsid w:val="66FDC2A9"/>
    <w:rsid w:val="671226BA"/>
    <w:rsid w:val="674C5E3B"/>
    <w:rsid w:val="67B003CA"/>
    <w:rsid w:val="67C342E0"/>
    <w:rsid w:val="68BE670A"/>
    <w:rsid w:val="697FB987"/>
    <w:rsid w:val="6A0D30BA"/>
    <w:rsid w:val="6A113BD5"/>
    <w:rsid w:val="6A7A2B04"/>
    <w:rsid w:val="6AAC54D8"/>
    <w:rsid w:val="6AB77085"/>
    <w:rsid w:val="6AEE3417"/>
    <w:rsid w:val="6B3233DF"/>
    <w:rsid w:val="6B376C47"/>
    <w:rsid w:val="6B4D4445"/>
    <w:rsid w:val="6B7026D3"/>
    <w:rsid w:val="6B8D18BC"/>
    <w:rsid w:val="6B9419A4"/>
    <w:rsid w:val="6BB7E40D"/>
    <w:rsid w:val="6BD33C7E"/>
    <w:rsid w:val="6CBC5656"/>
    <w:rsid w:val="6CBE53FF"/>
    <w:rsid w:val="6CE40CCE"/>
    <w:rsid w:val="6D0F6BAB"/>
    <w:rsid w:val="6D5E2269"/>
    <w:rsid w:val="6D605FE2"/>
    <w:rsid w:val="6D9F67DC"/>
    <w:rsid w:val="6DAD129E"/>
    <w:rsid w:val="6DBB590E"/>
    <w:rsid w:val="6DCA1206"/>
    <w:rsid w:val="6DD34255"/>
    <w:rsid w:val="6DE705CF"/>
    <w:rsid w:val="6DE727C4"/>
    <w:rsid w:val="6E66587A"/>
    <w:rsid w:val="6EBB36B5"/>
    <w:rsid w:val="6F422D56"/>
    <w:rsid w:val="6F5F07E2"/>
    <w:rsid w:val="6F80296B"/>
    <w:rsid w:val="6F82356F"/>
    <w:rsid w:val="6FC66FAE"/>
    <w:rsid w:val="6FF749E5"/>
    <w:rsid w:val="6FFFED89"/>
    <w:rsid w:val="700F3CEF"/>
    <w:rsid w:val="70227EC6"/>
    <w:rsid w:val="706265D7"/>
    <w:rsid w:val="70657DB3"/>
    <w:rsid w:val="7080178C"/>
    <w:rsid w:val="71185251"/>
    <w:rsid w:val="717007BD"/>
    <w:rsid w:val="71A66207"/>
    <w:rsid w:val="71DF6C29"/>
    <w:rsid w:val="72274AB6"/>
    <w:rsid w:val="724C1D49"/>
    <w:rsid w:val="72824C4C"/>
    <w:rsid w:val="729749FC"/>
    <w:rsid w:val="731C5A4B"/>
    <w:rsid w:val="73351CBE"/>
    <w:rsid w:val="734C3F0C"/>
    <w:rsid w:val="735FC222"/>
    <w:rsid w:val="73843B99"/>
    <w:rsid w:val="73E3796C"/>
    <w:rsid w:val="74031DBD"/>
    <w:rsid w:val="74367A9C"/>
    <w:rsid w:val="745A5E80"/>
    <w:rsid w:val="745B7503"/>
    <w:rsid w:val="74DFF4B0"/>
    <w:rsid w:val="74E41BEE"/>
    <w:rsid w:val="757F7872"/>
    <w:rsid w:val="75AE7B06"/>
    <w:rsid w:val="75AF6A16"/>
    <w:rsid w:val="75B76040"/>
    <w:rsid w:val="75F6B34E"/>
    <w:rsid w:val="764D65C0"/>
    <w:rsid w:val="77161E07"/>
    <w:rsid w:val="771E062F"/>
    <w:rsid w:val="778760F8"/>
    <w:rsid w:val="77D51E27"/>
    <w:rsid w:val="77FAA32C"/>
    <w:rsid w:val="77FF90E9"/>
    <w:rsid w:val="77FF9AEB"/>
    <w:rsid w:val="78970D25"/>
    <w:rsid w:val="78B264F9"/>
    <w:rsid w:val="78CB6CD2"/>
    <w:rsid w:val="79012C01"/>
    <w:rsid w:val="790F3391"/>
    <w:rsid w:val="794F2272"/>
    <w:rsid w:val="796E45AD"/>
    <w:rsid w:val="797F7145"/>
    <w:rsid w:val="79FECD98"/>
    <w:rsid w:val="7A0348C4"/>
    <w:rsid w:val="7A0B2F12"/>
    <w:rsid w:val="7A100D8F"/>
    <w:rsid w:val="7A6E7713"/>
    <w:rsid w:val="7AD90E3E"/>
    <w:rsid w:val="7B2E9820"/>
    <w:rsid w:val="7B364826"/>
    <w:rsid w:val="7B676530"/>
    <w:rsid w:val="7B7FE66E"/>
    <w:rsid w:val="7B8EFE8F"/>
    <w:rsid w:val="7B917CAE"/>
    <w:rsid w:val="7BAD0F8C"/>
    <w:rsid w:val="7BBF0CBF"/>
    <w:rsid w:val="7BD5403F"/>
    <w:rsid w:val="7C7E1CA6"/>
    <w:rsid w:val="7C8E7B2C"/>
    <w:rsid w:val="7C9B7036"/>
    <w:rsid w:val="7CE41DCD"/>
    <w:rsid w:val="7D276B1C"/>
    <w:rsid w:val="7D2F4CAA"/>
    <w:rsid w:val="7D45007C"/>
    <w:rsid w:val="7D804B74"/>
    <w:rsid w:val="7DB3F075"/>
    <w:rsid w:val="7DCE51E9"/>
    <w:rsid w:val="7DE242CD"/>
    <w:rsid w:val="7DF874F5"/>
    <w:rsid w:val="7DFE0EBB"/>
    <w:rsid w:val="7E5A030C"/>
    <w:rsid w:val="7EB70494"/>
    <w:rsid w:val="7F1135E0"/>
    <w:rsid w:val="7F3C3E86"/>
    <w:rsid w:val="7F4D2D7D"/>
    <w:rsid w:val="7F645E05"/>
    <w:rsid w:val="7F77ED10"/>
    <w:rsid w:val="7FABD705"/>
    <w:rsid w:val="7FB95861"/>
    <w:rsid w:val="7FBD7FE8"/>
    <w:rsid w:val="7FBF5D83"/>
    <w:rsid w:val="7FCB1FC6"/>
    <w:rsid w:val="7FD7C8B2"/>
    <w:rsid w:val="7FDFCE79"/>
    <w:rsid w:val="7FDFEA9A"/>
    <w:rsid w:val="7FEFC6F7"/>
    <w:rsid w:val="7FFB6985"/>
    <w:rsid w:val="8DB5D015"/>
    <w:rsid w:val="977F3278"/>
    <w:rsid w:val="9BEDEA3B"/>
    <w:rsid w:val="9EBD20A6"/>
    <w:rsid w:val="9EEF75BB"/>
    <w:rsid w:val="A6FE47FB"/>
    <w:rsid w:val="ABFFC003"/>
    <w:rsid w:val="AFBB85E6"/>
    <w:rsid w:val="AFE598D7"/>
    <w:rsid w:val="AFEFADA8"/>
    <w:rsid w:val="B7FB55C0"/>
    <w:rsid w:val="BB5FB0AE"/>
    <w:rsid w:val="BC6DD927"/>
    <w:rsid w:val="BD565A76"/>
    <w:rsid w:val="BD7F5818"/>
    <w:rsid w:val="BDDBCD35"/>
    <w:rsid w:val="BFDF8604"/>
    <w:rsid w:val="D3DC6E54"/>
    <w:rsid w:val="D7AF7B7E"/>
    <w:rsid w:val="D7F933C3"/>
    <w:rsid w:val="DA796805"/>
    <w:rsid w:val="DD26D355"/>
    <w:rsid w:val="DDFD3E8A"/>
    <w:rsid w:val="DE5D9B31"/>
    <w:rsid w:val="DEBEDF4C"/>
    <w:rsid w:val="DEC1B75B"/>
    <w:rsid w:val="DEEF9215"/>
    <w:rsid w:val="DEF53051"/>
    <w:rsid w:val="DFBEF256"/>
    <w:rsid w:val="DFCE13B7"/>
    <w:rsid w:val="DFD7148B"/>
    <w:rsid w:val="DFDEC0F5"/>
    <w:rsid w:val="DFFD108C"/>
    <w:rsid w:val="DFFD1F21"/>
    <w:rsid w:val="EB64B27A"/>
    <w:rsid w:val="ECBA45BE"/>
    <w:rsid w:val="EED70111"/>
    <w:rsid w:val="EEFF01A0"/>
    <w:rsid w:val="EF6383C9"/>
    <w:rsid w:val="EFB73413"/>
    <w:rsid w:val="EFF11052"/>
    <w:rsid w:val="EFF74622"/>
    <w:rsid w:val="F3FFA62E"/>
    <w:rsid w:val="F4EDF07A"/>
    <w:rsid w:val="F55B2785"/>
    <w:rsid w:val="F64D366A"/>
    <w:rsid w:val="F67FE535"/>
    <w:rsid w:val="F7CE87A0"/>
    <w:rsid w:val="F7F9C563"/>
    <w:rsid w:val="F9B51730"/>
    <w:rsid w:val="FA7E25D3"/>
    <w:rsid w:val="FBDA1D4F"/>
    <w:rsid w:val="FBE79C38"/>
    <w:rsid w:val="FBFD4407"/>
    <w:rsid w:val="FDBE24DC"/>
    <w:rsid w:val="FDE6B8B4"/>
    <w:rsid w:val="FDFB8507"/>
    <w:rsid w:val="FEFDBBCB"/>
    <w:rsid w:val="FF4FFF80"/>
    <w:rsid w:val="FF7F8337"/>
    <w:rsid w:val="FF9FB738"/>
    <w:rsid w:val="FFBE7E37"/>
    <w:rsid w:val="FFEB2A42"/>
    <w:rsid w:val="FFF73A4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qFormat/>
    <w:locked/>
    <w:uiPriority w:val="0"/>
    <w:pPr>
      <w:keepNext/>
      <w:keepLines/>
      <w:numPr>
        <w:ilvl w:val="2"/>
        <w:numId w:val="1"/>
      </w:numPr>
      <w:spacing w:line="360" w:lineRule="auto"/>
      <w:jc w:val="left"/>
      <w:outlineLvl w:val="2"/>
    </w:pPr>
    <w:rPr>
      <w:rFonts w:ascii="Times New Roman" w:hAnsi="Times New Roman" w:eastAsia="宋体"/>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rPr>
      <w:sz w:val="32"/>
    </w:rPr>
  </w:style>
  <w:style w:type="paragraph" w:styleId="4">
    <w:name w:val="Body Text Indent"/>
    <w:basedOn w:val="1"/>
    <w:next w:val="5"/>
    <w:unhideWhenUsed/>
    <w:qFormat/>
    <w:uiPriority w:val="99"/>
    <w:pPr>
      <w:spacing w:after="120"/>
      <w:ind w:left="420" w:leftChars="200"/>
    </w:pPr>
  </w:style>
  <w:style w:type="paragraph" w:styleId="5">
    <w:name w:val="Body Text Indent 2"/>
    <w:basedOn w:val="1"/>
    <w:next w:val="6"/>
    <w:qFormat/>
    <w:uiPriority w:val="0"/>
    <w:pPr>
      <w:spacing w:line="500" w:lineRule="exact"/>
      <w:ind w:firstLine="600" w:firstLineChars="200"/>
    </w:pPr>
    <w:rPr>
      <w:rFonts w:ascii="仿宋_GB2312" w:hAnsi="宋体" w:eastAsia="仿宋_GB2312"/>
      <w:sz w:val="30"/>
    </w:rPr>
  </w:style>
  <w:style w:type="paragraph" w:styleId="6">
    <w:name w:val="Body Text First Indent 2"/>
    <w:basedOn w:val="4"/>
    <w:next w:val="1"/>
    <w:qFormat/>
    <w:uiPriority w:val="0"/>
    <w:pPr>
      <w:ind w:firstLine="420" w:firstLineChars="200"/>
    </w:pPr>
  </w:style>
  <w:style w:type="paragraph" w:styleId="7">
    <w:name w:val="Plain Text"/>
    <w:basedOn w:val="1"/>
    <w:next w:val="8"/>
    <w:qFormat/>
    <w:uiPriority w:val="99"/>
    <w:pPr>
      <w:widowControl w:val="0"/>
      <w:adjustRightInd/>
      <w:snapToGrid/>
      <w:spacing w:after="0"/>
      <w:jc w:val="both"/>
    </w:pPr>
    <w:rPr>
      <w:rFonts w:ascii="宋体" w:hAnsi="Courier New" w:eastAsia="宋体" w:cs="Times New Roman"/>
      <w:kern w:val="2"/>
      <w:sz w:val="21"/>
      <w:szCs w:val="24"/>
    </w:rPr>
  </w:style>
  <w:style w:type="paragraph" w:styleId="8">
    <w:name w:val="toc 1"/>
    <w:basedOn w:val="1"/>
    <w:next w:val="1"/>
    <w:unhideWhenUsed/>
    <w:qFormat/>
    <w:locked/>
    <w:uiPriority w:val="39"/>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next w:val="1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1">
    <w:name w:val="样式5"/>
    <w:basedOn w:val="12"/>
    <w:next w:val="1"/>
    <w:qFormat/>
    <w:uiPriority w:val="0"/>
    <w:pPr>
      <w:snapToGrid w:val="0"/>
      <w:spacing w:line="360" w:lineRule="auto"/>
      <w:ind w:firstLine="510"/>
    </w:pPr>
    <w:rPr>
      <w:sz w:val="24"/>
    </w:rPr>
  </w:style>
  <w:style w:type="paragraph" w:customStyle="1" w:styleId="12">
    <w:name w:val="font5"/>
    <w:basedOn w:val="1"/>
    <w:qFormat/>
    <w:uiPriority w:val="99"/>
    <w:pPr>
      <w:widowControl/>
      <w:spacing w:before="100" w:beforeAutospacing="1" w:after="100" w:afterAutospacing="1"/>
      <w:jc w:val="left"/>
    </w:pPr>
    <w:rPr>
      <w:sz w:val="18"/>
      <w:szCs w:val="18"/>
    </w:rPr>
  </w:style>
  <w:style w:type="paragraph" w:styleId="1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5">
    <w:name w:val="Table Grid"/>
    <w:basedOn w:val="14"/>
    <w:unhideWhenUsed/>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qFormat/>
    <w:uiPriority w:val="99"/>
    <w:rPr>
      <w:color w:val="800080"/>
      <w:u w:val="single"/>
    </w:rPr>
  </w:style>
  <w:style w:type="character" w:styleId="18">
    <w:name w:val="Hyperlink"/>
    <w:qFormat/>
    <w:uiPriority w:val="99"/>
    <w:rPr>
      <w:rFonts w:ascii="Times New Roman" w:hAnsi="Times New Roman" w:cs="Times New Roman"/>
      <w:color w:val="0000FF"/>
      <w:u w:val="none"/>
    </w:rPr>
  </w:style>
  <w:style w:type="paragraph" w:customStyle="1" w:styleId="19">
    <w:name w:val="Default"/>
    <w:basedOn w:val="20"/>
    <w:next w:val="6"/>
    <w:unhideWhenUsed/>
    <w:qFormat/>
    <w:uiPriority w:val="0"/>
    <w:pPr>
      <w:widowControl w:val="0"/>
      <w:autoSpaceDE w:val="0"/>
      <w:autoSpaceDN w:val="0"/>
      <w:adjustRightInd w:val="0"/>
    </w:pPr>
    <w:rPr>
      <w:rFonts w:hint="eastAsia" w:ascii="Calibri" w:hAnsi="Calibri" w:eastAsia="Times New Roman" w:cs="Times New Roman"/>
      <w:color w:val="000000"/>
      <w:sz w:val="24"/>
      <w:szCs w:val="22"/>
      <w:lang w:val="en-US" w:eastAsia="zh-CN" w:bidi="ar-SA"/>
    </w:rPr>
  </w:style>
  <w:style w:type="paragraph" w:customStyle="1" w:styleId="20">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21">
    <w:name w:val="纯文本1"/>
    <w:basedOn w:val="1"/>
    <w:qFormat/>
    <w:uiPriority w:val="0"/>
    <w:pPr>
      <w:adjustRightInd w:val="0"/>
    </w:pPr>
    <w:rPr>
      <w:rFonts w:ascii="宋体" w:hAnsi="Courier New"/>
      <w:szCs w:val="20"/>
    </w:rPr>
  </w:style>
  <w:style w:type="character" w:customStyle="1" w:styleId="22">
    <w:name w:val="页眉 Char"/>
    <w:link w:val="10"/>
    <w:qFormat/>
    <w:uiPriority w:val="99"/>
    <w:rPr>
      <w:rFonts w:ascii="Calibri" w:hAnsi="Calibri" w:cs="Calibri"/>
      <w:sz w:val="18"/>
      <w:szCs w:val="18"/>
    </w:rPr>
  </w:style>
  <w:style w:type="character" w:customStyle="1" w:styleId="23">
    <w:name w:val="页脚 Char"/>
    <w:link w:val="9"/>
    <w:qFormat/>
    <w:uiPriority w:val="99"/>
    <w:rPr>
      <w:rFonts w:ascii="Calibri" w:hAnsi="Calibri" w:cs="Calibri"/>
      <w:sz w:val="18"/>
      <w:szCs w:val="18"/>
    </w:rPr>
  </w:style>
  <w:style w:type="paragraph" w:customStyle="1" w:styleId="24">
    <w:name w:val="A正文"/>
    <w:basedOn w:val="1"/>
    <w:qFormat/>
    <w:uiPriority w:val="0"/>
    <w:pPr>
      <w:widowControl w:val="0"/>
      <w:adjustRightInd/>
      <w:spacing w:after="0"/>
      <w:ind w:firstLine="480"/>
      <w:jc w:val="both"/>
    </w:pPr>
    <w:rPr>
      <w:rFonts w:ascii="Times New Roman" w:hAnsi="Times New Roman" w:eastAsia="宋体" w:cs="Times New Roman"/>
      <w:kern w:val="2"/>
      <w:sz w:val="21"/>
      <w:szCs w:val="21"/>
      <w:lang w:val="zh-CN"/>
    </w:rPr>
  </w:style>
  <w:style w:type="paragraph" w:customStyle="1" w:styleId="25">
    <w:name w:val="正文格式"/>
    <w:basedOn w:val="1"/>
    <w:qFormat/>
    <w:uiPriority w:val="0"/>
    <w:pPr>
      <w:widowControl/>
      <w:adjustRightInd w:val="0"/>
      <w:snapToGrid w:val="0"/>
      <w:spacing w:line="360" w:lineRule="auto"/>
      <w:ind w:firstLine="480" w:firstLineChars="200"/>
      <w:jc w:val="left"/>
    </w:pPr>
    <w:rPr>
      <w:rFonts w:hAnsi="宋体"/>
      <w:sz w:val="24"/>
      <w:szCs w:val="20"/>
    </w:rPr>
  </w:style>
  <w:style w:type="paragraph" w:customStyle="1" w:styleId="26">
    <w:name w:val="表格标题"/>
    <w:basedOn w:val="1"/>
    <w:qFormat/>
    <w:uiPriority w:val="0"/>
    <w:pPr>
      <w:ind w:firstLine="0" w:firstLineChars="0"/>
      <w:jc w:val="center"/>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1187</Words>
  <Characters>1301</Characters>
  <Lines>3</Lines>
  <Paragraphs>1</Paragraphs>
  <TotalTime>5</TotalTime>
  <ScaleCrop>false</ScaleCrop>
  <LinksUpToDate>false</LinksUpToDate>
  <CharactersWithSpaces>1334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2018-10-07T01:22:00Z</dcterms:created>
  <dc:creator>user</dc:creator>
  <cp:lastModifiedBy>user</cp:lastModifiedBy>
  <cp:lastPrinted>2025-04-18T06:34:00Z</cp:lastPrinted>
  <dcterms:modified xsi:type="dcterms:W3CDTF">2025-04-22T14:24:28Z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85FC3AB13E4C452D8750DC57A16F7189_13</vt:lpwstr>
  </property>
</Properties>
</file>