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1" w:line="225" w:lineRule="auto"/>
        <w:ind w:left="40"/>
        <w:rPr>
          <w:rFonts w:ascii="黑体" w:hAnsi="黑体" w:eastAsia="黑体" w:cs="黑体"/>
          <w:sz w:val="28"/>
          <w:szCs w:val="28"/>
          <w:lang w:val="en-US"/>
        </w:rPr>
      </w:pPr>
      <w:r>
        <w:rPr>
          <w:rFonts w:ascii="黑体" w:hAnsi="黑体" w:eastAsia="黑体" w:cs="黑体"/>
          <w:spacing w:val="-12"/>
          <w:sz w:val="28"/>
          <w:szCs w:val="28"/>
        </w:rPr>
        <w:t>附件</w:t>
      </w:r>
      <w:r>
        <w:rPr>
          <w:rFonts w:ascii="黑体" w:hAnsi="黑体" w:eastAsia="黑体" w:cs="黑体"/>
          <w:spacing w:val="-48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12"/>
          <w:sz w:val="28"/>
          <w:szCs w:val="28"/>
          <w:lang w:val="en-US" w:eastAsia="zh-CN"/>
        </w:rPr>
        <w:t>4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231" w:line="216" w:lineRule="auto"/>
        <w:ind w:left="1114"/>
      </w:pPr>
      <w:r>
        <w:rPr>
          <w:b/>
          <w:bCs/>
        </w:rPr>
        <w:t>政</w:t>
      </w:r>
      <w:r>
        <w:t xml:space="preserve"> </w:t>
      </w:r>
      <w:r>
        <w:rPr>
          <w:b/>
          <w:bCs/>
        </w:rPr>
        <w:t>府</w:t>
      </w:r>
      <w:r>
        <w:t xml:space="preserve"> </w:t>
      </w:r>
      <w:r>
        <w:rPr>
          <w:b/>
          <w:bCs/>
        </w:rPr>
        <w:t>采</w:t>
      </w:r>
      <w:r>
        <w:t xml:space="preserve"> </w:t>
      </w:r>
      <w:r>
        <w:rPr>
          <w:b/>
          <w:bCs/>
        </w:rPr>
        <w:t>购</w:t>
      </w:r>
      <w:r>
        <w:rPr>
          <w:spacing w:val="15"/>
        </w:rPr>
        <w:t xml:space="preserve"> </w:t>
      </w:r>
      <w:r>
        <w:rPr>
          <w:b/>
          <w:bCs/>
        </w:rPr>
        <w:t>项</w:t>
      </w:r>
      <w:r>
        <w:rPr>
          <w:spacing w:val="123"/>
        </w:rPr>
        <w:t xml:space="preserve"> </w:t>
      </w:r>
      <w:r>
        <w:rPr>
          <w:b/>
          <w:bCs/>
        </w:rPr>
        <w:t>目</w:t>
      </w:r>
    </w:p>
    <w:p>
      <w:pPr>
        <w:pStyle w:val="2"/>
        <w:spacing w:before="378" w:line="304" w:lineRule="auto"/>
        <w:ind w:left="582" w:right="208" w:hanging="362"/>
      </w:pPr>
      <w:r>
        <w:rPr>
          <w:b/>
          <w:bCs/>
          <w:spacing w:val="1"/>
        </w:rPr>
        <w:t>采购需求和采购实施计划</w:t>
      </w:r>
      <w:r>
        <w:rPr>
          <w:spacing w:val="1"/>
        </w:rPr>
        <w:t xml:space="preserve"> </w:t>
      </w:r>
      <w:r>
        <w:rPr>
          <w:b/>
          <w:bCs/>
          <w:spacing w:val="-6"/>
        </w:rPr>
        <w:t>重</w:t>
      </w:r>
      <w:r>
        <w:rPr>
          <w:spacing w:val="-6"/>
        </w:rPr>
        <w:t xml:space="preserve"> </w:t>
      </w:r>
      <w:r>
        <w:rPr>
          <w:b/>
          <w:bCs/>
          <w:spacing w:val="-6"/>
        </w:rPr>
        <w:t>点</w:t>
      </w:r>
      <w:r>
        <w:rPr>
          <w:spacing w:val="-6"/>
        </w:rPr>
        <w:t xml:space="preserve"> </w:t>
      </w:r>
      <w:r>
        <w:rPr>
          <w:b/>
          <w:bCs/>
          <w:spacing w:val="-6"/>
        </w:rPr>
        <w:t>审</w:t>
      </w:r>
      <w:r>
        <w:rPr>
          <w:spacing w:val="21"/>
        </w:rPr>
        <w:t xml:space="preserve"> </w:t>
      </w:r>
      <w:r>
        <w:rPr>
          <w:b/>
          <w:bCs/>
          <w:spacing w:val="-6"/>
        </w:rPr>
        <w:t>查</w:t>
      </w:r>
      <w:r>
        <w:rPr>
          <w:spacing w:val="28"/>
        </w:rPr>
        <w:t xml:space="preserve"> </w:t>
      </w:r>
      <w:r>
        <w:rPr>
          <w:b/>
          <w:bCs/>
          <w:spacing w:val="-6"/>
        </w:rPr>
        <w:t>意</w:t>
      </w:r>
      <w:r>
        <w:rPr>
          <w:spacing w:val="21"/>
        </w:rPr>
        <w:t xml:space="preserve"> </w:t>
      </w:r>
      <w:r>
        <w:rPr>
          <w:b/>
          <w:bCs/>
          <w:spacing w:val="-6"/>
        </w:rPr>
        <w:t>见</w:t>
      </w:r>
      <w:r>
        <w:rPr>
          <w:spacing w:val="14"/>
        </w:rPr>
        <w:t xml:space="preserve"> </w:t>
      </w:r>
      <w:r>
        <w:rPr>
          <w:b/>
          <w:bCs/>
          <w:spacing w:val="-6"/>
        </w:rPr>
        <w:t>书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tabs>
          <w:tab w:val="left" w:pos="6414"/>
        </w:tabs>
        <w:spacing w:before="101" w:line="358" w:lineRule="auto"/>
        <w:ind w:left="1459" w:right="1920" w:hanging="2"/>
        <w:jc w:val="both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项目名称：</w:t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</w:rPr>
        <w:t xml:space="preserve"> </w:t>
      </w:r>
      <w:r>
        <w:rPr>
          <w:b/>
          <w:bCs/>
          <w:spacing w:val="5"/>
          <w:sz w:val="31"/>
          <w:szCs w:val="31"/>
        </w:rPr>
        <w:t>采购单位：</w:t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</w:rPr>
        <w:t xml:space="preserve"> </w:t>
      </w:r>
      <w:r>
        <w:rPr>
          <w:b/>
          <w:bCs/>
          <w:spacing w:val="5"/>
          <w:sz w:val="31"/>
          <w:szCs w:val="31"/>
        </w:rPr>
        <w:t>审查时间：</w:t>
      </w:r>
      <w:r>
        <w:rPr>
          <w:sz w:val="31"/>
          <w:szCs w:val="31"/>
          <w:u w:val="single" w:color="auto"/>
        </w:rPr>
        <w:t xml:space="preserve">                      </w:t>
      </w:r>
    </w:p>
    <w:p>
      <w:pPr>
        <w:spacing w:line="358" w:lineRule="auto"/>
        <w:rPr>
          <w:sz w:val="31"/>
          <w:szCs w:val="31"/>
        </w:rPr>
        <w:sectPr>
          <w:footerReference r:id="rId9" w:type="first"/>
          <w:headerReference r:id="rId5" w:type="default"/>
          <w:footerReference r:id="rId7" w:type="default"/>
          <w:headerReference r:id="rId6" w:type="even"/>
          <w:footerReference r:id="rId8" w:type="even"/>
          <w:pgSz w:w="11906" w:h="16839"/>
          <w:pgMar w:top="1431" w:right="1785" w:bottom="1271" w:left="1785" w:header="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</w:p>
    <w:p>
      <w:pPr>
        <w:pStyle w:val="2"/>
        <w:spacing w:before="235" w:line="218" w:lineRule="auto"/>
        <w:ind w:left="2966"/>
        <w:outlineLvl w:val="0"/>
        <w:rPr>
          <w:sz w:val="43"/>
          <w:szCs w:val="43"/>
        </w:rPr>
      </w:pPr>
      <w:r>
        <w:rPr>
          <w:b/>
          <w:bCs/>
          <w:sz w:val="43"/>
          <w:szCs w:val="43"/>
        </w:rPr>
        <w:t>审</w:t>
      </w:r>
      <w:r>
        <w:rPr>
          <w:sz w:val="43"/>
          <w:szCs w:val="43"/>
        </w:rPr>
        <w:t xml:space="preserve"> </w:t>
      </w:r>
      <w:r>
        <w:rPr>
          <w:b/>
          <w:bCs/>
          <w:sz w:val="43"/>
          <w:szCs w:val="43"/>
        </w:rPr>
        <w:t>查</w:t>
      </w:r>
      <w:r>
        <w:rPr>
          <w:spacing w:val="9"/>
          <w:sz w:val="43"/>
          <w:szCs w:val="43"/>
        </w:rPr>
        <w:t xml:space="preserve"> </w:t>
      </w:r>
      <w:r>
        <w:rPr>
          <w:b/>
          <w:bCs/>
          <w:sz w:val="43"/>
          <w:szCs w:val="43"/>
        </w:rPr>
        <w:t>说</w:t>
      </w:r>
      <w:r>
        <w:rPr>
          <w:spacing w:val="29"/>
          <w:sz w:val="43"/>
          <w:szCs w:val="43"/>
        </w:rPr>
        <w:t xml:space="preserve"> </w:t>
      </w:r>
      <w:r>
        <w:rPr>
          <w:b/>
          <w:bCs/>
          <w:sz w:val="43"/>
          <w:szCs w:val="43"/>
        </w:rPr>
        <w:t>明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 w:firstLine="616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一、</w:t>
      </w:r>
      <w:r>
        <w:rPr>
          <w:rFonts w:ascii="仿宋" w:hAnsi="仿宋" w:eastAsia="仿宋" w:cs="仿宋"/>
          <w:spacing w:val="-1"/>
          <w:sz w:val="31"/>
          <w:szCs w:val="31"/>
        </w:rPr>
        <w:t>采购人应当建立审查工作机制，在采购活动开始前，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针对采购需求管理中的重点风险事项，对采购需求和采购实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施计划进行审查。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 w:firstLine="644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重点审查应在一般性审查通过的基础上再进行。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 w:firstLine="64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主管预算单位可以根据本部门实际情况，确定由主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管预算单位统一组织重点审查的项目类别或者金额范围。</w:t>
      </w:r>
      <w:r>
        <w:rPr>
          <w:rFonts w:ascii="仿宋" w:hAnsi="仿宋" w:eastAsia="仿宋" w:cs="仿宋"/>
          <w:spacing w:val="5"/>
          <w:sz w:val="31"/>
          <w:szCs w:val="31"/>
        </w:rPr>
        <w:t>属</w:t>
      </w:r>
      <w:r>
        <w:rPr>
          <w:rFonts w:ascii="仿宋" w:hAnsi="仿宋" w:eastAsia="仿宋" w:cs="仿宋"/>
          <w:spacing w:val="8"/>
          <w:sz w:val="31"/>
          <w:szCs w:val="31"/>
        </w:rPr>
        <w:t>于《财政部关于印发政府采购需求管理办法的通知》（财库</w:t>
      </w:r>
      <w:r>
        <w:rPr>
          <w:rFonts w:ascii="仿宋" w:hAnsi="仿宋" w:eastAsia="仿宋" w:cs="仿宋"/>
          <w:spacing w:val="3"/>
          <w:sz w:val="31"/>
          <w:szCs w:val="31"/>
        </w:rPr>
        <w:t>〔2021〕22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号）第十一条规定范围的采购项目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及达到公开招标数额标准的采购项目</w:t>
      </w:r>
      <w:r>
        <w:rPr>
          <w:rFonts w:ascii="仿宋" w:hAnsi="仿宋" w:eastAsia="仿宋" w:cs="仿宋"/>
          <w:spacing w:val="3"/>
          <w:sz w:val="31"/>
          <w:szCs w:val="31"/>
        </w:rPr>
        <w:t>，</w:t>
      </w:r>
      <w:r>
        <w:rPr>
          <w:rFonts w:ascii="仿宋" w:hAnsi="仿宋" w:eastAsia="仿宋" w:cs="仿宋"/>
          <w:spacing w:val="2"/>
          <w:sz w:val="31"/>
          <w:szCs w:val="31"/>
        </w:rPr>
        <w:t>应当开展重</w:t>
      </w:r>
      <w:r>
        <w:rPr>
          <w:rFonts w:ascii="仿宋" w:hAnsi="仿宋" w:eastAsia="仿宋" w:cs="仿宋"/>
          <w:spacing w:val="-3"/>
          <w:sz w:val="31"/>
          <w:szCs w:val="31"/>
        </w:rPr>
        <w:t>点审查。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right="0" w:rightChars="0" w:firstLine="652" w:firstLineChars="200"/>
        <w:textAlignment w:val="baseline"/>
        <w:rPr>
          <w:rFonts w:ascii="仿宋" w:hAnsi="仿宋" w:eastAsia="仿宋" w:cs="仿宋"/>
          <w:spacing w:val="-1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四、</w:t>
      </w:r>
      <w:r>
        <w:rPr>
          <w:rFonts w:ascii="仿宋" w:hAnsi="仿宋" w:eastAsia="仿宋" w:cs="仿宋"/>
          <w:spacing w:val="8"/>
          <w:sz w:val="31"/>
          <w:szCs w:val="31"/>
        </w:rPr>
        <w:t>审查应当符合《财政部关于印发政府采购需求管理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办法的通知》（财库〔2021〕22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号）要求及政府</w:t>
      </w:r>
      <w:r>
        <w:rPr>
          <w:rFonts w:ascii="仿宋" w:hAnsi="仿宋" w:eastAsia="仿宋" w:cs="仿宋"/>
          <w:spacing w:val="3"/>
          <w:sz w:val="31"/>
          <w:szCs w:val="31"/>
        </w:rPr>
        <w:t>采购的相关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规定。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right="0" w:rightChars="0" w:firstLine="652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对于审查不通过的，应当修改采购需求和采购实施 </w:t>
      </w:r>
      <w:r>
        <w:rPr>
          <w:rFonts w:ascii="仿宋" w:hAnsi="仿宋" w:eastAsia="仿宋" w:cs="仿宋"/>
          <w:spacing w:val="7"/>
          <w:sz w:val="31"/>
          <w:szCs w:val="31"/>
        </w:rPr>
        <w:t>计划的内容并重新进行审查。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 w:firstLine="652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</w:t>
      </w:r>
      <w:r>
        <w:rPr>
          <w:rFonts w:ascii="仿宋" w:hAnsi="仿宋" w:eastAsia="仿宋" w:cs="仿宋"/>
          <w:spacing w:val="8"/>
          <w:sz w:val="31"/>
          <w:szCs w:val="31"/>
        </w:rPr>
        <w:t>斜体字部分属于提醒内容，编制时应删除。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 w:firstLine="652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</w:t>
      </w:r>
      <w:r>
        <w:rPr>
          <w:rFonts w:ascii="仿宋" w:hAnsi="仿宋" w:eastAsia="仿宋" w:cs="仿宋"/>
          <w:spacing w:val="8"/>
          <w:sz w:val="31"/>
          <w:szCs w:val="31"/>
        </w:rPr>
        <w:t>对不适用的内容应删除，并调整相应序号。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 w:firstLine="620" w:firstLineChars="200"/>
        <w:textAlignment w:val="baseline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1431" w:right="1711" w:bottom="1270" w:left="1785" w:header="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spacing w:before="101" w:line="227" w:lineRule="auto"/>
        <w:ind w:left="73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一、审查项目情况</w:t>
      </w:r>
    </w:p>
    <w:p>
      <w:pPr>
        <w:spacing w:before="177" w:line="229" w:lineRule="auto"/>
        <w:ind w:left="7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（一）审查项目名称：</w:t>
      </w:r>
      <w:r>
        <w:rPr>
          <w:rFonts w:ascii="楷体" w:hAnsi="楷体" w:eastAsia="楷体" w:cs="楷体"/>
          <w:sz w:val="31"/>
          <w:szCs w:val="31"/>
          <w:u w:val="single" w:color="auto"/>
        </w:rPr>
        <w:t xml:space="preserve">                             </w:t>
      </w:r>
    </w:p>
    <w:p>
      <w:pPr>
        <w:spacing w:before="175" w:line="281" w:lineRule="auto"/>
        <w:ind w:left="747" w:right="5795" w:firstLine="3"/>
        <w:rPr>
          <w:rFonts w:ascii="楷体" w:hAnsi="楷体" w:eastAsia="楷体" w:cs="楷体"/>
          <w:spacing w:val="-3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（二）审查对象</w:t>
      </w:r>
    </w:p>
    <w:p>
      <w:pPr>
        <w:spacing w:before="175" w:line="281" w:lineRule="auto"/>
        <w:ind w:left="747" w:right="5795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1.采购需求</w:t>
      </w:r>
    </w:p>
    <w:p>
      <w:pPr>
        <w:spacing w:before="176" w:line="228" w:lineRule="auto"/>
        <w:ind w:left="7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参与确定采购需求的专家、第三方机构：</w:t>
      </w:r>
    </w:p>
    <w:p>
      <w:pPr>
        <w:tabs>
          <w:tab w:val="left" w:pos="8392"/>
        </w:tabs>
        <w:spacing w:before="291"/>
        <w:ind w:left="712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before="205" w:line="228" w:lineRule="auto"/>
        <w:ind w:left="7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2.采购实施计划</w:t>
      </w:r>
    </w:p>
    <w:p>
      <w:pPr>
        <w:spacing w:before="176" w:line="228" w:lineRule="auto"/>
        <w:ind w:left="7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参与确定采购实施计划的专家、第三方机构：</w:t>
      </w:r>
    </w:p>
    <w:p>
      <w:pPr>
        <w:tabs>
          <w:tab w:val="left" w:pos="8392"/>
        </w:tabs>
        <w:spacing w:before="291"/>
        <w:ind w:left="712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before="207" w:line="226" w:lineRule="auto"/>
        <w:ind w:left="7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二、审查人员</w:t>
      </w:r>
    </w:p>
    <w:p>
      <w:pPr>
        <w:spacing w:line="50" w:lineRule="auto"/>
        <w:rPr>
          <w:rFonts w:ascii="Arial"/>
          <w:sz w:val="2"/>
        </w:rPr>
      </w:pPr>
    </w:p>
    <w:tbl>
      <w:tblPr>
        <w:tblStyle w:val="7"/>
        <w:tblW w:w="870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313"/>
        <w:gridCol w:w="2272"/>
        <w:gridCol w:w="1590"/>
        <w:gridCol w:w="1590"/>
        <w:gridCol w:w="10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889" w:type="dxa"/>
            <w:vAlign w:val="top"/>
          </w:tcPr>
          <w:p>
            <w:pPr>
              <w:spacing w:before="179" w:line="226" w:lineRule="auto"/>
              <w:ind w:left="15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序号</w:t>
            </w:r>
          </w:p>
        </w:tc>
        <w:tc>
          <w:tcPr>
            <w:tcW w:w="1313" w:type="dxa"/>
            <w:vAlign w:val="top"/>
          </w:tcPr>
          <w:p>
            <w:pPr>
              <w:spacing w:before="179" w:line="226" w:lineRule="auto"/>
              <w:ind w:left="19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姓名</w:t>
            </w:r>
          </w:p>
        </w:tc>
        <w:tc>
          <w:tcPr>
            <w:tcW w:w="2272" w:type="dxa"/>
            <w:vAlign w:val="top"/>
          </w:tcPr>
          <w:p>
            <w:pPr>
              <w:spacing w:before="179" w:line="226" w:lineRule="auto"/>
              <w:ind w:left="200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单位</w:t>
            </w:r>
            <w:r>
              <w:rPr>
                <w:rFonts w:hint="eastAsia" w:ascii="仿宋" w:hAnsi="仿宋" w:eastAsia="仿宋" w:cs="仿宋"/>
                <w:spacing w:val="-5"/>
                <w:sz w:val="31"/>
                <w:szCs w:val="31"/>
                <w:lang w:eastAsia="zh-CN"/>
              </w:rPr>
              <w:t>及所属部门</w:t>
            </w:r>
          </w:p>
        </w:tc>
        <w:tc>
          <w:tcPr>
            <w:tcW w:w="1590" w:type="dxa"/>
            <w:vAlign w:val="top"/>
          </w:tcPr>
          <w:p>
            <w:pPr>
              <w:spacing w:before="179" w:line="226" w:lineRule="auto"/>
              <w:ind w:left="16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职务/职称</w:t>
            </w:r>
          </w:p>
        </w:tc>
        <w:tc>
          <w:tcPr>
            <w:tcW w:w="1590" w:type="dxa"/>
            <w:vAlign w:val="top"/>
          </w:tcPr>
          <w:p>
            <w:pPr>
              <w:spacing w:before="179" w:line="226" w:lineRule="auto"/>
              <w:ind w:left="27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联系方式</w:t>
            </w:r>
          </w:p>
        </w:tc>
        <w:tc>
          <w:tcPr>
            <w:tcW w:w="1050" w:type="dxa"/>
            <w:vAlign w:val="top"/>
          </w:tcPr>
          <w:p>
            <w:pPr>
              <w:spacing w:before="179" w:line="226" w:lineRule="auto"/>
              <w:ind w:left="2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89" w:type="dxa"/>
            <w:vAlign w:val="top"/>
          </w:tcPr>
          <w:p>
            <w:pPr>
              <w:pStyle w:val="8"/>
            </w:pPr>
          </w:p>
        </w:tc>
        <w:tc>
          <w:tcPr>
            <w:tcW w:w="1313" w:type="dxa"/>
            <w:vAlign w:val="top"/>
          </w:tcPr>
          <w:p>
            <w:pPr>
              <w:pStyle w:val="8"/>
            </w:pPr>
          </w:p>
        </w:tc>
        <w:tc>
          <w:tcPr>
            <w:tcW w:w="2272" w:type="dxa"/>
            <w:vAlign w:val="top"/>
          </w:tcPr>
          <w:p>
            <w:pPr>
              <w:pStyle w:val="8"/>
            </w:pPr>
          </w:p>
        </w:tc>
        <w:tc>
          <w:tcPr>
            <w:tcW w:w="1590" w:type="dxa"/>
            <w:vAlign w:val="top"/>
          </w:tcPr>
          <w:p>
            <w:pPr>
              <w:pStyle w:val="8"/>
            </w:pPr>
          </w:p>
        </w:tc>
        <w:tc>
          <w:tcPr>
            <w:tcW w:w="1590" w:type="dxa"/>
            <w:vAlign w:val="top"/>
          </w:tcPr>
          <w:p>
            <w:pPr>
              <w:pStyle w:val="8"/>
            </w:pPr>
          </w:p>
        </w:tc>
        <w:tc>
          <w:tcPr>
            <w:tcW w:w="1050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89" w:type="dxa"/>
            <w:vAlign w:val="top"/>
          </w:tcPr>
          <w:p>
            <w:pPr>
              <w:pStyle w:val="8"/>
            </w:pPr>
          </w:p>
        </w:tc>
        <w:tc>
          <w:tcPr>
            <w:tcW w:w="1313" w:type="dxa"/>
            <w:vAlign w:val="top"/>
          </w:tcPr>
          <w:p>
            <w:pPr>
              <w:pStyle w:val="8"/>
            </w:pPr>
          </w:p>
        </w:tc>
        <w:tc>
          <w:tcPr>
            <w:tcW w:w="2272" w:type="dxa"/>
            <w:vAlign w:val="top"/>
          </w:tcPr>
          <w:p>
            <w:pPr>
              <w:pStyle w:val="8"/>
            </w:pPr>
          </w:p>
        </w:tc>
        <w:tc>
          <w:tcPr>
            <w:tcW w:w="1590" w:type="dxa"/>
            <w:vAlign w:val="top"/>
          </w:tcPr>
          <w:p>
            <w:pPr>
              <w:pStyle w:val="8"/>
            </w:pPr>
          </w:p>
        </w:tc>
        <w:tc>
          <w:tcPr>
            <w:tcW w:w="1590" w:type="dxa"/>
            <w:vAlign w:val="top"/>
          </w:tcPr>
          <w:p>
            <w:pPr>
              <w:pStyle w:val="8"/>
            </w:pPr>
          </w:p>
        </w:tc>
        <w:tc>
          <w:tcPr>
            <w:tcW w:w="1050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89" w:type="dxa"/>
            <w:vAlign w:val="top"/>
          </w:tcPr>
          <w:p>
            <w:pPr>
              <w:pStyle w:val="8"/>
            </w:pPr>
          </w:p>
        </w:tc>
        <w:tc>
          <w:tcPr>
            <w:tcW w:w="1313" w:type="dxa"/>
            <w:vAlign w:val="top"/>
          </w:tcPr>
          <w:p>
            <w:pPr>
              <w:pStyle w:val="8"/>
            </w:pPr>
          </w:p>
        </w:tc>
        <w:tc>
          <w:tcPr>
            <w:tcW w:w="2272" w:type="dxa"/>
            <w:vAlign w:val="top"/>
          </w:tcPr>
          <w:p>
            <w:pPr>
              <w:pStyle w:val="8"/>
            </w:pPr>
          </w:p>
        </w:tc>
        <w:tc>
          <w:tcPr>
            <w:tcW w:w="1590" w:type="dxa"/>
            <w:vAlign w:val="top"/>
          </w:tcPr>
          <w:p>
            <w:pPr>
              <w:pStyle w:val="8"/>
            </w:pPr>
          </w:p>
        </w:tc>
        <w:tc>
          <w:tcPr>
            <w:tcW w:w="1590" w:type="dxa"/>
            <w:vAlign w:val="top"/>
          </w:tcPr>
          <w:p>
            <w:pPr>
              <w:pStyle w:val="8"/>
            </w:pPr>
          </w:p>
        </w:tc>
        <w:tc>
          <w:tcPr>
            <w:tcW w:w="1050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89" w:type="dxa"/>
            <w:vAlign w:val="top"/>
          </w:tcPr>
          <w:p>
            <w:pPr>
              <w:pStyle w:val="8"/>
            </w:pPr>
          </w:p>
        </w:tc>
        <w:tc>
          <w:tcPr>
            <w:tcW w:w="1313" w:type="dxa"/>
            <w:vAlign w:val="top"/>
          </w:tcPr>
          <w:p>
            <w:pPr>
              <w:pStyle w:val="8"/>
            </w:pPr>
          </w:p>
        </w:tc>
        <w:tc>
          <w:tcPr>
            <w:tcW w:w="2272" w:type="dxa"/>
            <w:vAlign w:val="top"/>
          </w:tcPr>
          <w:p>
            <w:pPr>
              <w:pStyle w:val="8"/>
            </w:pPr>
          </w:p>
        </w:tc>
        <w:tc>
          <w:tcPr>
            <w:tcW w:w="1590" w:type="dxa"/>
            <w:vAlign w:val="top"/>
          </w:tcPr>
          <w:p>
            <w:pPr>
              <w:pStyle w:val="8"/>
            </w:pPr>
          </w:p>
        </w:tc>
        <w:tc>
          <w:tcPr>
            <w:tcW w:w="1590" w:type="dxa"/>
            <w:vAlign w:val="top"/>
          </w:tcPr>
          <w:p>
            <w:pPr>
              <w:pStyle w:val="8"/>
            </w:pPr>
          </w:p>
        </w:tc>
        <w:tc>
          <w:tcPr>
            <w:tcW w:w="1050" w:type="dxa"/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89" w:type="dxa"/>
            <w:vAlign w:val="top"/>
          </w:tcPr>
          <w:p>
            <w:pPr>
              <w:pStyle w:val="8"/>
            </w:pPr>
          </w:p>
        </w:tc>
        <w:tc>
          <w:tcPr>
            <w:tcW w:w="1313" w:type="dxa"/>
            <w:vAlign w:val="top"/>
          </w:tcPr>
          <w:p>
            <w:pPr>
              <w:pStyle w:val="8"/>
            </w:pPr>
          </w:p>
        </w:tc>
        <w:tc>
          <w:tcPr>
            <w:tcW w:w="2272" w:type="dxa"/>
            <w:vAlign w:val="top"/>
          </w:tcPr>
          <w:p>
            <w:pPr>
              <w:pStyle w:val="8"/>
            </w:pPr>
          </w:p>
        </w:tc>
        <w:tc>
          <w:tcPr>
            <w:tcW w:w="1590" w:type="dxa"/>
            <w:vAlign w:val="top"/>
          </w:tcPr>
          <w:p>
            <w:pPr>
              <w:pStyle w:val="8"/>
            </w:pPr>
          </w:p>
        </w:tc>
        <w:tc>
          <w:tcPr>
            <w:tcW w:w="1590" w:type="dxa"/>
            <w:vAlign w:val="top"/>
          </w:tcPr>
          <w:p>
            <w:pPr>
              <w:pStyle w:val="8"/>
            </w:pPr>
          </w:p>
        </w:tc>
        <w:tc>
          <w:tcPr>
            <w:tcW w:w="1050" w:type="dxa"/>
            <w:vAlign w:val="top"/>
          </w:tcPr>
          <w:p>
            <w:pPr>
              <w:pStyle w:val="8"/>
            </w:pPr>
          </w:p>
        </w:tc>
      </w:tr>
    </w:tbl>
    <w:p>
      <w:pPr>
        <w:spacing w:before="172" w:line="304" w:lineRule="auto"/>
        <w:ind w:left="78" w:firstLine="663"/>
        <w:jc w:val="both"/>
        <w:rPr>
          <w:rFonts w:ascii="仿宋" w:hAnsi="仿宋" w:eastAsia="仿宋" w:cs="仿宋"/>
          <w:i/>
          <w:iCs/>
          <w:spacing w:val="-6"/>
          <w:sz w:val="33"/>
          <w:szCs w:val="33"/>
          <w:u w:val="single" w:color="auto"/>
        </w:rPr>
      </w:pPr>
      <w:r>
        <w:rPr>
          <w:rFonts w:ascii="仿宋" w:hAnsi="仿宋" w:eastAsia="仿宋" w:cs="仿宋"/>
          <w:i/>
          <w:iCs/>
          <w:spacing w:val="-13"/>
          <w:sz w:val="33"/>
          <w:szCs w:val="33"/>
          <w:u w:val="single" w:color="auto"/>
        </w:rPr>
        <w:t>审查工作机制成员应当包括本部门、本单位的采购、财务、</w:t>
      </w:r>
      <w:r>
        <w:rPr>
          <w:rFonts w:ascii="仿宋" w:hAnsi="仿宋" w:eastAsia="仿宋" w:cs="仿宋"/>
          <w:i/>
          <w:iCs/>
          <w:spacing w:val="-11"/>
          <w:sz w:val="33"/>
          <w:szCs w:val="33"/>
          <w:u w:val="single" w:color="auto"/>
        </w:rPr>
        <w:t>业务、监督等内部机构。采购人可以根据本</w:t>
      </w:r>
      <w:r>
        <w:rPr>
          <w:rFonts w:ascii="仿宋" w:hAnsi="仿宋" w:eastAsia="仿宋" w:cs="仿宋"/>
          <w:i/>
          <w:iCs/>
          <w:spacing w:val="-12"/>
          <w:sz w:val="33"/>
          <w:szCs w:val="33"/>
          <w:u w:val="single" w:color="auto"/>
        </w:rPr>
        <w:t>单位实际情况，建立</w:t>
      </w:r>
      <w:r>
        <w:rPr>
          <w:rFonts w:ascii="仿宋" w:hAnsi="仿宋" w:eastAsia="仿宋" w:cs="仿宋"/>
          <w:i/>
          <w:iCs/>
          <w:spacing w:val="-6"/>
          <w:sz w:val="33"/>
          <w:szCs w:val="33"/>
          <w:u w:val="single" w:color="auto"/>
        </w:rPr>
        <w:t>相关专家和第三方机构参与审查的工作机制。</w:t>
      </w:r>
    </w:p>
    <w:p>
      <w:pPr>
        <w:spacing w:before="172" w:line="304" w:lineRule="auto"/>
        <w:ind w:left="78" w:firstLine="663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7"/>
          <w:sz w:val="33"/>
          <w:szCs w:val="33"/>
          <w:u w:val="single" w:color="auto"/>
        </w:rPr>
        <w:t>参与确定采购需求和编制采购实施计划的专家和第三方</w:t>
      </w:r>
      <w:r>
        <w:rPr>
          <w:rFonts w:ascii="仿宋" w:hAnsi="仿宋" w:eastAsia="仿宋" w:cs="仿宋"/>
          <w:i/>
          <w:iCs/>
          <w:spacing w:val="-7"/>
          <w:sz w:val="33"/>
          <w:szCs w:val="33"/>
        </w:rPr>
        <w:t>机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1"/>
          <w:sz w:val="33"/>
          <w:szCs w:val="33"/>
          <w:u w:val="single" w:color="auto"/>
        </w:rPr>
        <w:t>构不得参与审查。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ascii="Arial"/>
          <w:sz w:val="2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三、审查会议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textAlignment w:val="baseline"/>
        <w:rPr>
          <w:rFonts w:ascii="仿宋" w:hAnsi="仿宋" w:eastAsia="仿宋" w:cs="仿宋"/>
          <w:spacing w:val="4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1.审查时间：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2.审查地点：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四、审查意见</w:t>
      </w:r>
    </w:p>
    <w:p>
      <w:pPr>
        <w:spacing w:line="65" w:lineRule="auto"/>
        <w:rPr>
          <w:rFonts w:ascii="Arial"/>
          <w:sz w:val="2"/>
        </w:rPr>
      </w:pPr>
    </w:p>
    <w:tbl>
      <w:tblPr>
        <w:tblStyle w:val="7"/>
        <w:tblW w:w="95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0"/>
        <w:gridCol w:w="5715"/>
        <w:gridCol w:w="16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895" w:type="dxa"/>
            <w:gridSpan w:val="2"/>
            <w:vAlign w:val="top"/>
          </w:tcPr>
          <w:p>
            <w:pPr>
              <w:spacing w:before="212" w:line="223" w:lineRule="auto"/>
              <w:ind w:left="30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1"/>
                <w:sz w:val="28"/>
                <w:szCs w:val="28"/>
              </w:rPr>
              <w:t>审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1"/>
                <w:sz w:val="28"/>
                <w:szCs w:val="28"/>
              </w:rPr>
              <w:t>查</w:t>
            </w:r>
            <w:r>
              <w:rPr>
                <w:rFonts w:ascii="仿宋" w:hAnsi="仿宋" w:eastAsia="仿宋" w:cs="仿宋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1"/>
                <w:sz w:val="28"/>
                <w:szCs w:val="28"/>
              </w:rPr>
              <w:t>内</w:t>
            </w:r>
            <w:r>
              <w:rPr>
                <w:rFonts w:ascii="仿宋" w:hAnsi="仿宋" w:eastAsia="仿宋" w:cs="仿宋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1"/>
                <w:sz w:val="28"/>
                <w:szCs w:val="28"/>
              </w:rPr>
              <w:t>容</w:t>
            </w:r>
          </w:p>
        </w:tc>
        <w:tc>
          <w:tcPr>
            <w:tcW w:w="1667" w:type="dxa"/>
            <w:vAlign w:val="top"/>
          </w:tcPr>
          <w:p>
            <w:pPr>
              <w:spacing w:before="212" w:line="223" w:lineRule="auto"/>
              <w:ind w:left="4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8"/>
                <w:szCs w:val="28"/>
              </w:rPr>
              <w:t>审查结果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42" w:lineRule="auto"/>
            </w:pPr>
          </w:p>
          <w:p>
            <w:pPr>
              <w:pStyle w:val="8"/>
              <w:spacing w:line="243" w:lineRule="auto"/>
            </w:pPr>
          </w:p>
          <w:p>
            <w:pPr>
              <w:pStyle w:val="8"/>
              <w:spacing w:line="243" w:lineRule="auto"/>
            </w:pPr>
          </w:p>
          <w:p>
            <w:pPr>
              <w:pStyle w:val="8"/>
              <w:spacing w:line="243" w:lineRule="auto"/>
            </w:pPr>
          </w:p>
          <w:p>
            <w:pPr>
              <w:spacing w:before="91" w:line="362" w:lineRule="auto"/>
              <w:ind w:left="126" w:right="104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（一）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lang w:eastAsia="zh-CN"/>
              </w:rPr>
              <w:t>非歧视性审查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（主要审查是否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>指向特定供应商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或者特定产品）</w:t>
            </w:r>
          </w:p>
        </w:tc>
        <w:tc>
          <w:tcPr>
            <w:tcW w:w="5715" w:type="dxa"/>
            <w:vAlign w:val="top"/>
          </w:tcPr>
          <w:p>
            <w:pPr>
              <w:spacing w:before="207" w:line="223" w:lineRule="auto"/>
              <w:ind w:left="1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资格条件设置是否合理</w:t>
            </w:r>
          </w:p>
        </w:tc>
        <w:tc>
          <w:tcPr>
            <w:tcW w:w="1667" w:type="dxa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5715" w:type="dxa"/>
            <w:vAlign w:val="top"/>
          </w:tcPr>
          <w:p>
            <w:pPr>
              <w:spacing w:before="210" w:line="298" w:lineRule="auto"/>
              <w:ind w:left="123" w:right="19" w:firstLine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要求供应商提供超过2</w:t>
            </w:r>
            <w:r>
              <w:rPr>
                <w:rFonts w:ascii="仿宋" w:hAnsi="仿宋" w:eastAsia="仿宋" w:cs="仿宋"/>
                <w:spacing w:val="-7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个同类业务合同的，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是否具有合理性</w:t>
            </w:r>
          </w:p>
        </w:tc>
        <w:tc>
          <w:tcPr>
            <w:tcW w:w="1667" w:type="dxa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5715" w:type="dxa"/>
            <w:vAlign w:val="top"/>
          </w:tcPr>
          <w:p>
            <w:pPr>
              <w:spacing w:before="210" w:line="298" w:lineRule="auto"/>
              <w:ind w:left="121" w:right="102" w:firstLine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技术要求是否指向特定的专利、商标、品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牌、技术路线等</w:t>
            </w:r>
          </w:p>
        </w:tc>
        <w:tc>
          <w:tcPr>
            <w:tcW w:w="1667" w:type="dxa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5715" w:type="dxa"/>
            <w:vAlign w:val="top"/>
          </w:tcPr>
          <w:p>
            <w:pPr>
              <w:spacing w:before="211" w:line="221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评审因素设置是否具有倾向性</w:t>
            </w:r>
          </w:p>
        </w:tc>
        <w:tc>
          <w:tcPr>
            <w:tcW w:w="1667" w:type="dxa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0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5715" w:type="dxa"/>
            <w:vAlign w:val="top"/>
          </w:tcPr>
          <w:p>
            <w:pPr>
              <w:spacing w:before="209" w:line="221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将有关履约能力作为评审因素是否适当</w:t>
            </w:r>
          </w:p>
        </w:tc>
        <w:tc>
          <w:tcPr>
            <w:tcW w:w="1667" w:type="dxa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18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54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spacing w:before="91" w:line="359" w:lineRule="auto"/>
              <w:ind w:left="127" w:right="104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（二）竞争性审查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>（主要审查是否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确保充分竞争）</w:t>
            </w:r>
          </w:p>
        </w:tc>
        <w:tc>
          <w:tcPr>
            <w:tcW w:w="5715" w:type="dxa"/>
            <w:vAlign w:val="top"/>
          </w:tcPr>
          <w:p>
            <w:pPr>
              <w:spacing w:before="210" w:line="298" w:lineRule="auto"/>
              <w:ind w:left="124" w:right="102" w:hanging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应当以公开方式邀请供应商的，是否依法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采用公开竞争方式</w:t>
            </w:r>
          </w:p>
        </w:tc>
        <w:tc>
          <w:tcPr>
            <w:tcW w:w="1667" w:type="dxa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5715" w:type="dxa"/>
            <w:vAlign w:val="top"/>
          </w:tcPr>
          <w:p>
            <w:pPr>
              <w:spacing w:before="210" w:line="298" w:lineRule="auto"/>
              <w:ind w:left="128" w:right="102" w:hanging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采用单一来源采购方式的，是否符合法定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情形</w:t>
            </w:r>
          </w:p>
        </w:tc>
        <w:tc>
          <w:tcPr>
            <w:tcW w:w="1667" w:type="dxa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5715" w:type="dxa"/>
            <w:vAlign w:val="top"/>
          </w:tcPr>
          <w:p>
            <w:pPr>
              <w:spacing w:before="211" w:line="223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采购需求的内容是否完整、明确</w:t>
            </w:r>
          </w:p>
        </w:tc>
        <w:tc>
          <w:tcPr>
            <w:tcW w:w="1667" w:type="dxa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5715" w:type="dxa"/>
            <w:vAlign w:val="top"/>
          </w:tcPr>
          <w:p>
            <w:pPr>
              <w:spacing w:before="212" w:line="221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采购需求的内容是否考虑后续采购竞争性</w:t>
            </w:r>
          </w:p>
        </w:tc>
        <w:tc>
          <w:tcPr>
            <w:tcW w:w="1667" w:type="dxa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180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5715" w:type="dxa"/>
            <w:vAlign w:val="top"/>
          </w:tcPr>
          <w:p>
            <w:pPr>
              <w:spacing w:before="213" w:line="297" w:lineRule="auto"/>
              <w:ind w:left="125" w:right="102" w:hanging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评审方法、评审因素、价格权重等评审规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则是否适当</w:t>
            </w:r>
          </w:p>
        </w:tc>
        <w:tc>
          <w:tcPr>
            <w:tcW w:w="1667" w:type="dxa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0" w:type="dxa"/>
            <w:vMerge w:val="restart"/>
            <w:vAlign w:val="center"/>
          </w:tcPr>
          <w:p>
            <w:pPr>
              <w:pStyle w:val="8"/>
              <w:spacing w:line="410" w:lineRule="auto"/>
              <w:jc w:val="center"/>
            </w:pPr>
          </w:p>
          <w:p>
            <w:pPr>
              <w:spacing w:before="91" w:line="357" w:lineRule="auto"/>
              <w:ind w:left="128" w:right="104" w:hanging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（三）采购政策审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查</w:t>
            </w:r>
          </w:p>
        </w:tc>
        <w:tc>
          <w:tcPr>
            <w:tcW w:w="5715" w:type="dxa"/>
            <w:vAlign w:val="top"/>
          </w:tcPr>
          <w:p>
            <w:pPr>
              <w:spacing w:before="213" w:line="223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进口产品的采购是否必要</w:t>
            </w:r>
          </w:p>
        </w:tc>
        <w:tc>
          <w:tcPr>
            <w:tcW w:w="1667" w:type="dxa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0" w:type="dxa"/>
            <w:vMerge w:val="continue"/>
            <w:vAlign w:val="top"/>
          </w:tcPr>
          <w:p>
            <w:pPr>
              <w:pStyle w:val="8"/>
            </w:pPr>
          </w:p>
        </w:tc>
        <w:tc>
          <w:tcPr>
            <w:tcW w:w="5715" w:type="dxa"/>
            <w:vAlign w:val="top"/>
          </w:tcPr>
          <w:p>
            <w:pPr>
              <w:spacing w:before="214" w:line="223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是否落实支持创新政府采购政策要求</w:t>
            </w:r>
          </w:p>
        </w:tc>
        <w:tc>
          <w:tcPr>
            <w:tcW w:w="1667" w:type="dxa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180" w:type="dxa"/>
            <w:vMerge w:val="continue"/>
            <w:vAlign w:val="top"/>
          </w:tcPr>
          <w:p>
            <w:pPr>
              <w:pStyle w:val="8"/>
            </w:pPr>
          </w:p>
        </w:tc>
        <w:tc>
          <w:tcPr>
            <w:tcW w:w="5715" w:type="dxa"/>
            <w:vAlign w:val="top"/>
          </w:tcPr>
          <w:p>
            <w:pPr>
              <w:spacing w:before="212" w:line="222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是否落实绿色发展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节能环保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CN"/>
              </w:rPr>
              <w:t>等）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政府采购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CN"/>
              </w:rPr>
              <w:t>政策要求</w:t>
            </w:r>
          </w:p>
        </w:tc>
        <w:tc>
          <w:tcPr>
            <w:tcW w:w="1667" w:type="dxa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0" w:type="dxa"/>
            <w:vMerge w:val="continue"/>
            <w:vAlign w:val="top"/>
          </w:tcPr>
          <w:p>
            <w:pPr>
              <w:pStyle w:val="8"/>
            </w:pPr>
          </w:p>
        </w:tc>
        <w:tc>
          <w:tcPr>
            <w:tcW w:w="5715" w:type="dxa"/>
            <w:vAlign w:val="top"/>
          </w:tcPr>
          <w:p>
            <w:pPr>
              <w:spacing w:before="207" w:line="223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是否落实中小企业发展政府采购政策要求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0" w:type="dxa"/>
            <w:vMerge w:val="continue"/>
            <w:vAlign w:val="top"/>
          </w:tcPr>
          <w:p>
            <w:pPr>
              <w:pStyle w:val="8"/>
            </w:pPr>
          </w:p>
        </w:tc>
        <w:tc>
          <w:tcPr>
            <w:tcW w:w="5715" w:type="dxa"/>
            <w:vAlign w:val="top"/>
          </w:tcPr>
          <w:p>
            <w:pPr>
              <w:spacing w:before="208" w:line="223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是否落实支持监狱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、残疾人福利单位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发展政府采购政策要求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180" w:type="dxa"/>
            <w:vMerge w:val="continue"/>
            <w:vAlign w:val="top"/>
          </w:tcPr>
          <w:p>
            <w:pPr>
              <w:pStyle w:val="8"/>
            </w:pPr>
          </w:p>
        </w:tc>
        <w:tc>
          <w:tcPr>
            <w:tcW w:w="5715" w:type="dxa"/>
            <w:vAlign w:val="top"/>
          </w:tcPr>
          <w:p>
            <w:pPr>
              <w:spacing w:before="207" w:line="299" w:lineRule="auto"/>
              <w:ind w:left="129" w:right="102" w:hanging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是否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CN"/>
              </w:rPr>
              <w:t>违规收取投标（履约）保证金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55" w:lineRule="auto"/>
            </w:pPr>
          </w:p>
          <w:p>
            <w:pPr>
              <w:pStyle w:val="8"/>
              <w:spacing w:line="255" w:lineRule="auto"/>
            </w:pPr>
          </w:p>
          <w:p>
            <w:pPr>
              <w:pStyle w:val="8"/>
              <w:spacing w:line="256" w:lineRule="auto"/>
            </w:pPr>
          </w:p>
          <w:p>
            <w:pPr>
              <w:pStyle w:val="8"/>
              <w:spacing w:line="256" w:lineRule="auto"/>
            </w:pPr>
          </w:p>
          <w:p>
            <w:pPr>
              <w:pStyle w:val="8"/>
              <w:spacing w:line="256" w:lineRule="auto"/>
            </w:pPr>
          </w:p>
          <w:p>
            <w:pPr>
              <w:pStyle w:val="8"/>
              <w:spacing w:line="256" w:lineRule="auto"/>
            </w:pPr>
          </w:p>
          <w:p>
            <w:pPr>
              <w:spacing w:before="91" w:line="357" w:lineRule="auto"/>
              <w:ind w:left="128" w:right="104" w:hanging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（四）履约风险审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查</w:t>
            </w:r>
          </w:p>
        </w:tc>
        <w:tc>
          <w:tcPr>
            <w:tcW w:w="5715" w:type="dxa"/>
            <w:vAlign w:val="top"/>
          </w:tcPr>
          <w:p>
            <w:pPr>
              <w:spacing w:before="208" w:line="223" w:lineRule="auto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合同文本是否按规定由法律顾问审定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5715" w:type="dxa"/>
            <w:vAlign w:val="top"/>
          </w:tcPr>
          <w:p>
            <w:pPr>
              <w:spacing w:before="210" w:line="223" w:lineRule="auto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合同文本运用是否适当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5715" w:type="dxa"/>
            <w:vAlign w:val="top"/>
          </w:tcPr>
          <w:p>
            <w:pPr>
              <w:spacing w:before="210" w:line="298" w:lineRule="auto"/>
              <w:ind w:left="129" w:right="102" w:hanging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是否围绕采购需求和合同履行设置权利义</w:t>
            </w:r>
            <w:r>
              <w:rPr>
                <w:rFonts w:ascii="仿宋" w:hAnsi="仿宋" w:eastAsia="仿宋" w:cs="仿宋"/>
                <w:sz w:val="28"/>
                <w:szCs w:val="28"/>
              </w:rPr>
              <w:t>务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5715" w:type="dxa"/>
            <w:vAlign w:val="top"/>
          </w:tcPr>
          <w:p>
            <w:pPr>
              <w:spacing w:before="210" w:line="223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是否明确知识产权等方面的要求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5715" w:type="dxa"/>
            <w:vAlign w:val="top"/>
          </w:tcPr>
          <w:p>
            <w:pPr>
              <w:spacing w:before="211" w:line="223" w:lineRule="auto"/>
              <w:ind w:left="1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履约验收方案是否完整、标准是否明确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0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5715" w:type="dxa"/>
            <w:vAlign w:val="top"/>
          </w:tcPr>
          <w:p>
            <w:pPr>
              <w:spacing w:before="209" w:line="222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风险处置措施和替代方案是否可行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是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2180" w:type="dxa"/>
            <w:vAlign w:val="top"/>
          </w:tcPr>
          <w:p>
            <w:pPr>
              <w:spacing w:before="213" w:line="333" w:lineRule="auto"/>
              <w:ind w:left="127" w:right="104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（五）采购人或者</w:t>
            </w: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>主管预算单位认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为应当审查的其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他内容</w:t>
            </w:r>
          </w:p>
        </w:tc>
        <w:tc>
          <w:tcPr>
            <w:tcW w:w="5715" w:type="dxa"/>
            <w:vAlign w:val="top"/>
          </w:tcPr>
          <w:p>
            <w:pPr>
              <w:pStyle w:val="8"/>
              <w:spacing w:line="317" w:lineRule="auto"/>
            </w:pPr>
          </w:p>
          <w:p>
            <w:pPr>
              <w:pStyle w:val="8"/>
              <w:spacing w:line="317" w:lineRule="auto"/>
            </w:pPr>
          </w:p>
          <w:p>
            <w:pPr>
              <w:pStyle w:val="8"/>
              <w:spacing w:line="318" w:lineRule="auto"/>
            </w:pPr>
          </w:p>
          <w:p>
            <w:pPr>
              <w:spacing w:before="94" w:line="216" w:lineRule="auto"/>
              <w:ind w:left="107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i/>
                <w:iCs/>
                <w:spacing w:val="-3"/>
                <w:sz w:val="29"/>
                <w:szCs w:val="29"/>
                <w:u w:val="single" w:color="auto"/>
              </w:rPr>
              <w:t>应列明审查的具体内容。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895" w:type="dxa"/>
            <w:gridSpan w:val="2"/>
            <w:vAlign w:val="top"/>
          </w:tcPr>
          <w:p>
            <w:pPr>
              <w:spacing w:before="211" w:line="223" w:lineRule="auto"/>
              <w:ind w:firstLine="3303" w:firstLineChars="13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8"/>
                <w:szCs w:val="28"/>
              </w:rPr>
              <w:t>审查结论</w:t>
            </w:r>
          </w:p>
        </w:tc>
        <w:tc>
          <w:tcPr>
            <w:tcW w:w="1667" w:type="dxa"/>
            <w:vAlign w:val="top"/>
          </w:tcPr>
          <w:p>
            <w:pPr>
              <w:spacing w:before="211" w:line="226" w:lineRule="auto"/>
              <w:ind w:left="204"/>
              <w:rPr>
                <w:rFonts w:hint="eastAsia" w:ascii="仿宋" w:hAnsi="仿宋" w:eastAsia="仿宋"/>
                <w:i w:val="0"/>
                <w:iCs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i w:val="0"/>
                <w:iCs/>
                <w:sz w:val="24"/>
                <w:szCs w:val="24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4"/>
                <w:szCs w:val="24"/>
                <w:u w:val="none"/>
                <w:lang w:eastAsia="zh-CN"/>
              </w:rPr>
              <w:t>通过</w:t>
            </w:r>
          </w:p>
          <w:p>
            <w:pPr>
              <w:spacing w:before="211" w:line="226" w:lineRule="auto"/>
              <w:ind w:left="2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i w:val="0"/>
                <w:iCs/>
                <w:sz w:val="24"/>
                <w:szCs w:val="24"/>
                <w:u w:val="none"/>
              </w:rPr>
              <w:t>□</w:t>
            </w:r>
            <w:r>
              <w:rPr>
                <w:rFonts w:hint="eastAsia" w:ascii="仿宋" w:hAnsi="仿宋" w:eastAsia="仿宋"/>
                <w:i w:val="0"/>
                <w:iCs/>
                <w:sz w:val="24"/>
                <w:szCs w:val="24"/>
                <w:u w:val="none"/>
                <w:lang w:eastAsia="zh-CN"/>
              </w:rPr>
              <w:t>不通过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9562" w:type="dxa"/>
            <w:gridSpan w:val="3"/>
            <w:vAlign w:val="top"/>
          </w:tcPr>
          <w:p>
            <w:pPr>
              <w:spacing w:before="212" w:line="223" w:lineRule="auto"/>
              <w:ind w:left="1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审查意见：</w:t>
            </w:r>
          </w:p>
          <w:p>
            <w:pPr>
              <w:spacing w:before="221" w:line="215" w:lineRule="auto"/>
              <w:ind w:left="672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i/>
                <w:iCs/>
                <w:spacing w:val="-7"/>
                <w:sz w:val="29"/>
                <w:szCs w:val="29"/>
                <w:u w:val="single" w:color="auto"/>
              </w:rPr>
              <w:t>示例：经审查，采购需求、采购实施计划符合相关</w:t>
            </w:r>
            <w:r>
              <w:rPr>
                <w:rFonts w:ascii="仿宋" w:hAnsi="仿宋" w:eastAsia="仿宋" w:cs="仿宋"/>
                <w:i/>
                <w:iCs/>
                <w:spacing w:val="-8"/>
                <w:sz w:val="29"/>
                <w:szCs w:val="29"/>
                <w:u w:val="single" w:color="auto"/>
              </w:rPr>
              <w:t>规定，审查通过。</w:t>
            </w:r>
          </w:p>
          <w:p>
            <w:pPr>
              <w:spacing w:before="221" w:line="343" w:lineRule="auto"/>
              <w:ind w:left="133" w:right="209" w:firstLine="538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i/>
                <w:iCs/>
                <w:spacing w:val="-10"/>
                <w:sz w:val="29"/>
                <w:szCs w:val="29"/>
                <w:u w:val="single" w:color="auto"/>
              </w:rPr>
              <w:t>示例：经审查，采购实施计划未落实中小企业发展政府采</w:t>
            </w:r>
            <w:r>
              <w:rPr>
                <w:rFonts w:ascii="仿宋" w:hAnsi="仿宋" w:eastAsia="仿宋" w:cs="仿宋"/>
                <w:i/>
                <w:iCs/>
                <w:spacing w:val="-11"/>
                <w:sz w:val="29"/>
                <w:szCs w:val="29"/>
                <w:u w:val="single" w:color="auto"/>
              </w:rPr>
              <w:t>购政策要求，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i/>
                <w:iCs/>
                <w:spacing w:val="-8"/>
                <w:sz w:val="29"/>
                <w:szCs w:val="29"/>
                <w:u w:val="single" w:color="auto"/>
              </w:rPr>
              <w:t>审查不通过，根据相关规定修改后，再重新进行审查。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8" w:line="299" w:lineRule="auto"/>
        <w:ind w:firstLine="65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23"/>
          <w:sz w:val="33"/>
          <w:szCs w:val="33"/>
          <w:u w:val="single" w:color="auto"/>
        </w:rPr>
        <w:t>审查结果为“通过”或“不通过”，审查结果“不通过”的，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1"/>
          <w:sz w:val="33"/>
          <w:szCs w:val="33"/>
          <w:u w:val="single" w:color="auto"/>
        </w:rPr>
        <w:t>还需说明具体原因。</w:t>
      </w:r>
    </w:p>
    <w:p>
      <w:pPr>
        <w:spacing w:before="50" w:line="300" w:lineRule="auto"/>
        <w:ind w:left="2" w:right="73" w:firstLine="657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i/>
          <w:iCs/>
          <w:spacing w:val="-14"/>
          <w:sz w:val="33"/>
          <w:szCs w:val="33"/>
          <w:u w:val="single" w:color="auto"/>
        </w:rPr>
        <w:t>审查结果全部为“通过”的，则审查结论为“通过”。审</w:t>
      </w:r>
      <w:r>
        <w:rPr>
          <w:rFonts w:ascii="仿宋" w:hAnsi="仿宋" w:eastAsia="仿宋" w:cs="仿宋"/>
          <w:i/>
          <w:iCs/>
          <w:spacing w:val="-14"/>
          <w:sz w:val="33"/>
          <w:szCs w:val="33"/>
        </w:rPr>
        <w:t>查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i/>
          <w:iCs/>
          <w:spacing w:val="-7"/>
          <w:sz w:val="33"/>
          <w:szCs w:val="33"/>
          <w:u w:val="single" w:color="auto"/>
        </w:rPr>
        <w:t>结果有一项为“不通过”的，则审查结论为“不通过”。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1" w:line="228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审查人员（签字</w:t>
      </w:r>
      <w:r>
        <w:rPr>
          <w:rFonts w:ascii="仿宋" w:hAnsi="仿宋" w:eastAsia="仿宋" w:cs="仿宋"/>
          <w:spacing w:val="-85"/>
          <w:sz w:val="31"/>
          <w:szCs w:val="31"/>
        </w:rPr>
        <w:t>）：</w:t>
      </w:r>
    </w:p>
    <w:sectPr>
      <w:headerReference r:id="rId11" w:type="default"/>
      <w:footerReference r:id="rId12" w:type="default"/>
      <w:footerReference r:id="rId13" w:type="even"/>
      <w:pgSz w:w="11906" w:h="16839"/>
      <w:pgMar w:top="1431" w:right="1357" w:bottom="1709" w:left="1596" w:header="0" w:footer="14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0894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/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2.2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B7ebi3UAAAABAEAAA8AAAAAAAAA&#10;AQAgAAAAOAAAAGRycy9kb3ducmV2LnhtbFBLAQIUABQAAAAIAIdO4kAbskbLOAIAAGIEAAAOAAAA&#10;AAAAAAEAIAAAADkBAABkcnMvZTJvRG9jLnhtbFBLBQYAAAAABgAGAFkBAADj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/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6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rPr>
        <w:sz w:val="28"/>
        <w:szCs w:val="28"/>
      </w:rPr>
    </w:pPr>
    <w:r>
      <w:rPr>
        <w:spacing w:val="-7"/>
        <w:sz w:val="28"/>
        <w:szCs w:val="28"/>
      </w:rPr>
      <w:t>—</w:t>
    </w:r>
    <w:r>
      <w:rPr>
        <w:rFonts w:hint="eastAsia"/>
        <w:spacing w:val="12"/>
        <w:sz w:val="28"/>
        <w:szCs w:val="28"/>
        <w:lang w:val="en-US" w:eastAsia="zh-CN"/>
      </w:rPr>
      <w:t>2</w:t>
    </w:r>
    <w:r>
      <w:rPr>
        <w:spacing w:val="6"/>
        <w:sz w:val="28"/>
        <w:szCs w:val="28"/>
      </w:rPr>
      <w:t xml:space="preserve"> </w:t>
    </w:r>
    <w:r>
      <w:rPr>
        <w:spacing w:val="-7"/>
        <w:sz w:val="28"/>
        <w:szCs w:val="28"/>
      </w:rPr>
      <w:t>—</w: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rPr>
        <w:sz w:val="28"/>
        <w:szCs w:val="28"/>
      </w:rPr>
    </w:pPr>
    <w:r>
      <w:rPr>
        <w:spacing w:val="-7"/>
        <w:sz w:val="28"/>
        <w:szCs w:val="28"/>
      </w:rPr>
      <w:t>—</w:t>
    </w:r>
    <w:r>
      <w:rPr>
        <w:spacing w:val="12"/>
        <w:sz w:val="28"/>
        <w:szCs w:val="28"/>
      </w:rPr>
      <w:t xml:space="preserve"> </w:t>
    </w:r>
    <w:r>
      <w:rPr>
        <w:rFonts w:hint="eastAsia"/>
        <w:spacing w:val="-7"/>
        <w:sz w:val="28"/>
        <w:szCs w:val="28"/>
        <w:lang w:val="en-US" w:eastAsia="zh-CN"/>
      </w:rPr>
      <w:t>1</w:t>
    </w:r>
    <w:r>
      <w:rPr>
        <w:spacing w:val="6"/>
        <w:sz w:val="28"/>
        <w:szCs w:val="28"/>
      </w:rPr>
      <w:t xml:space="preserve"> </w:t>
    </w:r>
    <w:r>
      <w:rPr>
        <w:spacing w:val="-7"/>
        <w:sz w:val="28"/>
        <w:szCs w:val="28"/>
      </w:rPr>
      <w:t>—</w:t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2565400</wp:posOffset>
              </wp:positionH>
              <wp:positionV relativeFrom="paragraph">
                <wp:posOffset>-47625</wp:posOffset>
              </wp:positionV>
              <wp:extent cx="370840" cy="23876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840" cy="238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/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pt;margin-top:-3.75pt;height:18.8pt;width:29.2pt;mso-position-horizontal-relative:margin;z-index:251660288;mso-width-relative:page;mso-height-relative:page;" filled="f" stroked="f" coordsize="21600,21600" o:gfxdata="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ITaP+NgAAAAJAQAADwAAAAAA&#10;AAABACAAAAA4AAAAZHJzL2Rvd25yZXYueG1sUEsBAhQAFAAAAAgAh07iQJbChfs2AgAAYQQAAA4A&#10;AAAAAAAAAQAgAAAAPQ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/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6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2737485</wp:posOffset>
              </wp:positionH>
              <wp:positionV relativeFrom="paragraph">
                <wp:posOffset>0</wp:posOffset>
              </wp:positionV>
              <wp:extent cx="361950" cy="15367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" cy="153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/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5.55pt;margin-top:0pt;height:12.1pt;width:28.5pt;mso-position-horizontal-relative:margin;z-index:251661312;mso-width-relative:page;mso-height-relative:page;" filled="f" stroked="f" coordsize="21600,21600" o:gfxdata="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I5n1Z7UAAAABwEAAA8AAAAAAAAAAQAg&#10;AAAAOAAAAGRycy9kb3ducmV2LnhtbFBLAQIUABQAAAAIAIdO4kAJQ4RANQIAAGEEAAAOAAAAAAAA&#10;AAEAIAAAADkBAABkcnMvZTJvRG9jLnhtbFBLBQYAAAAABgAGAFkBAADg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3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/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6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rPr>
        <w:sz w:val="28"/>
        <w:szCs w:val="28"/>
      </w:rPr>
    </w:pPr>
    <w:r>
      <w:rPr>
        <w:spacing w:val="-7"/>
        <w:sz w:val="28"/>
        <w:szCs w:val="28"/>
      </w:rPr>
      <w:t>—</w:t>
    </w:r>
    <w:r>
      <w:rPr>
        <w:spacing w:val="12"/>
        <w:sz w:val="28"/>
        <w:szCs w:val="28"/>
      </w:rPr>
      <w:t xml:space="preserve"> </w:t>
    </w:r>
    <w:r>
      <w:rPr>
        <w:rFonts w:hint="eastAsia"/>
        <w:spacing w:val="-7"/>
        <w:sz w:val="28"/>
        <w:szCs w:val="28"/>
        <w:lang w:val="en-US" w:eastAsia="zh-CN"/>
      </w:rPr>
      <w:t>6</w:t>
    </w:r>
    <w:r>
      <w:rPr>
        <w:spacing w:val="6"/>
        <w:sz w:val="28"/>
        <w:szCs w:val="28"/>
      </w:rPr>
      <w:t xml:space="preserve"> </w:t>
    </w:r>
    <w:r>
      <w:rPr>
        <w:spacing w:val="-7"/>
        <w:sz w:val="28"/>
        <w:szCs w:val="28"/>
      </w:rPr>
      <w:t>—</w: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0A792A"/>
    <w:rsid w:val="28B82C84"/>
    <w:rsid w:val="2DD52025"/>
    <w:rsid w:val="3E116752"/>
    <w:rsid w:val="53EFA15A"/>
    <w:rsid w:val="544E246E"/>
    <w:rsid w:val="5E9B6C3D"/>
    <w:rsid w:val="5FFE97C9"/>
    <w:rsid w:val="6376FEF4"/>
    <w:rsid w:val="67EFA780"/>
    <w:rsid w:val="6B4B83ED"/>
    <w:rsid w:val="6EF26065"/>
    <w:rsid w:val="6FFE1606"/>
    <w:rsid w:val="71D97204"/>
    <w:rsid w:val="766E14A9"/>
    <w:rsid w:val="7BCFC98A"/>
    <w:rsid w:val="7BD13454"/>
    <w:rsid w:val="7E71819F"/>
    <w:rsid w:val="BFF9791C"/>
    <w:rsid w:val="C775C66A"/>
    <w:rsid w:val="DFDFBDB5"/>
    <w:rsid w:val="F77D436A"/>
    <w:rsid w:val="F7FF9665"/>
    <w:rsid w:val="FBD1FE9C"/>
    <w:rsid w:val="FBF4FD51"/>
    <w:rsid w:val="FFFF7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1"/>
      <w:szCs w:val="7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2025-07-31T18:04:00Z</dcterms:created>
  <dc:creator>MC SYSTEM</dc:creator>
  <cp:lastModifiedBy>user</cp:lastModifiedBy>
  <dcterms:modified xsi:type="dcterms:W3CDTF">2025-09-09T10:26:24Z</dcterms:modified>
  <dc:title>厦财采〔2021〕9号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2025-08-18T10:21:11Z</vt:filetime>
  </property>
  <property fmtid="{D5CDD505-2E9C-101B-9397-08002B2CF9AE}" pid="4" name="KSOProductBuildVer">
    <vt:lpwstr>2052-11.8.2.10953</vt:lpwstr>
  </property>
  <property fmtid="{D5CDD505-2E9C-101B-9397-08002B2CF9AE}" pid="5" name="ICV">
    <vt:lpwstr>FBE167BA7B64D23263FDB868AD197507_43</vt:lpwstr>
  </property>
</Properties>
</file>