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1" w:line="225" w:lineRule="auto"/>
        <w:ind w:left="40"/>
        <w:rPr>
          <w:rFonts w:ascii="黑体" w:hAnsi="黑体" w:eastAsia="黑体" w:cs="黑体"/>
          <w:sz w:val="28"/>
          <w:szCs w:val="28"/>
          <w:lang w:val="en-US"/>
        </w:rPr>
      </w:pPr>
      <w:bookmarkStart w:id="0" w:name="_GoBack"/>
      <w:bookmarkEnd w:id="0"/>
      <w:r>
        <w:rPr>
          <w:rFonts w:ascii="黑体" w:hAnsi="黑体" w:eastAsia="黑体" w:cs="黑体"/>
          <w:spacing w:val="-12"/>
          <w:sz w:val="28"/>
          <w:szCs w:val="28"/>
        </w:rPr>
        <w:t>附件</w:t>
      </w:r>
      <w:r>
        <w:rPr>
          <w:rFonts w:ascii="黑体" w:hAnsi="黑体" w:eastAsia="黑体" w:cs="黑体"/>
          <w:spacing w:val="-48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-12"/>
          <w:sz w:val="28"/>
          <w:szCs w:val="28"/>
          <w:lang w:val="en-US" w:eastAsia="zh-CN"/>
        </w:rPr>
        <w:t>3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pStyle w:val="2"/>
        <w:spacing w:before="231" w:line="216" w:lineRule="auto"/>
        <w:ind w:left="1114"/>
        <w:rPr>
          <w:sz w:val="71"/>
          <w:szCs w:val="71"/>
        </w:rPr>
      </w:pPr>
      <w:r>
        <w:rPr>
          <w:b/>
          <w:bCs/>
          <w:sz w:val="71"/>
          <w:szCs w:val="71"/>
        </w:rPr>
        <w:t>政</w:t>
      </w:r>
      <w:r>
        <w:rPr>
          <w:sz w:val="71"/>
          <w:szCs w:val="71"/>
        </w:rPr>
        <w:t xml:space="preserve"> </w:t>
      </w:r>
      <w:r>
        <w:rPr>
          <w:b/>
          <w:bCs/>
          <w:sz w:val="71"/>
          <w:szCs w:val="71"/>
        </w:rPr>
        <w:t>府</w:t>
      </w:r>
      <w:r>
        <w:rPr>
          <w:sz w:val="71"/>
          <w:szCs w:val="71"/>
        </w:rPr>
        <w:t xml:space="preserve"> </w:t>
      </w:r>
      <w:r>
        <w:rPr>
          <w:b/>
          <w:bCs/>
          <w:sz w:val="71"/>
          <w:szCs w:val="71"/>
        </w:rPr>
        <w:t>采</w:t>
      </w:r>
      <w:r>
        <w:rPr>
          <w:sz w:val="71"/>
          <w:szCs w:val="71"/>
        </w:rPr>
        <w:t xml:space="preserve"> </w:t>
      </w:r>
      <w:r>
        <w:rPr>
          <w:b/>
          <w:bCs/>
          <w:sz w:val="71"/>
          <w:szCs w:val="71"/>
        </w:rPr>
        <w:t>购</w:t>
      </w:r>
      <w:r>
        <w:rPr>
          <w:spacing w:val="15"/>
          <w:sz w:val="71"/>
          <w:szCs w:val="71"/>
        </w:rPr>
        <w:t xml:space="preserve"> </w:t>
      </w:r>
      <w:r>
        <w:rPr>
          <w:b/>
          <w:bCs/>
          <w:sz w:val="71"/>
          <w:szCs w:val="71"/>
        </w:rPr>
        <w:t>项</w:t>
      </w:r>
      <w:r>
        <w:rPr>
          <w:spacing w:val="123"/>
          <w:sz w:val="71"/>
          <w:szCs w:val="71"/>
        </w:rPr>
        <w:t xml:space="preserve"> </w:t>
      </w:r>
      <w:r>
        <w:rPr>
          <w:b/>
          <w:bCs/>
          <w:sz w:val="71"/>
          <w:szCs w:val="71"/>
        </w:rPr>
        <w:t>目</w:t>
      </w:r>
    </w:p>
    <w:p>
      <w:pPr>
        <w:pStyle w:val="2"/>
        <w:spacing w:before="374" w:line="989" w:lineRule="exact"/>
        <w:ind w:left="220"/>
        <w:rPr>
          <w:sz w:val="71"/>
          <w:szCs w:val="71"/>
        </w:rPr>
      </w:pPr>
      <w:r>
        <w:rPr>
          <w:b/>
          <w:bCs/>
          <w:spacing w:val="1"/>
          <w:position w:val="4"/>
          <w:sz w:val="71"/>
          <w:szCs w:val="71"/>
        </w:rPr>
        <w:t>采购需求和采购实施计划</w:t>
      </w:r>
    </w:p>
    <w:p>
      <w:pPr>
        <w:pStyle w:val="2"/>
        <w:spacing w:before="259" w:line="988" w:lineRule="exact"/>
        <w:ind w:left="1294"/>
        <w:rPr>
          <w:sz w:val="71"/>
          <w:szCs w:val="71"/>
        </w:rPr>
      </w:pPr>
      <w:r>
        <w:rPr>
          <w:b/>
          <w:bCs/>
          <w:spacing w:val="1"/>
          <w:position w:val="4"/>
          <w:sz w:val="71"/>
          <w:szCs w:val="71"/>
        </w:rPr>
        <w:t>一般性审查意见书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2"/>
        <w:tabs>
          <w:tab w:val="left" w:pos="6894"/>
        </w:tabs>
        <w:spacing w:before="102" w:line="362" w:lineRule="auto"/>
        <w:ind w:left="1459" w:right="1440" w:hanging="2"/>
        <w:jc w:val="both"/>
      </w:pPr>
      <w:r>
        <w:rPr>
          <w:b/>
          <w:bCs/>
          <w:spacing w:val="-20"/>
        </w:rPr>
        <w:t>项</w:t>
      </w:r>
      <w:r>
        <w:rPr>
          <w:spacing w:val="59"/>
        </w:rPr>
        <w:t xml:space="preserve"> </w:t>
      </w:r>
      <w:r>
        <w:rPr>
          <w:b/>
          <w:bCs/>
          <w:spacing w:val="-20"/>
        </w:rPr>
        <w:t>目</w:t>
      </w:r>
      <w:r>
        <w:rPr>
          <w:spacing w:val="21"/>
        </w:rPr>
        <w:t xml:space="preserve"> </w:t>
      </w:r>
      <w:r>
        <w:rPr>
          <w:b/>
          <w:bCs/>
          <w:spacing w:val="-20"/>
        </w:rPr>
        <w:t>名</w:t>
      </w:r>
      <w:r>
        <w:rPr>
          <w:spacing w:val="7"/>
        </w:rPr>
        <w:t xml:space="preserve"> </w:t>
      </w:r>
      <w:r>
        <w:rPr>
          <w:b/>
          <w:bCs/>
          <w:spacing w:val="-20"/>
        </w:rPr>
        <w:t>称</w:t>
      </w:r>
      <w:r>
        <w:rPr>
          <w:spacing w:val="-99"/>
        </w:rPr>
        <w:t xml:space="preserve"> </w:t>
      </w:r>
      <w:r>
        <w:rPr>
          <w:b/>
          <w:bCs/>
          <w:spacing w:val="-20"/>
        </w:rPr>
        <w:t>：</w:t>
      </w:r>
      <w:r>
        <w:rPr>
          <w:u w:val="single" w:color="auto"/>
        </w:rPr>
        <w:tab/>
      </w:r>
      <w:r>
        <w:t xml:space="preserve"> </w:t>
      </w:r>
      <w:r>
        <w:rPr>
          <w:b/>
          <w:bCs/>
          <w:spacing w:val="-7"/>
        </w:rPr>
        <w:t>采</w:t>
      </w:r>
      <w:r>
        <w:rPr>
          <w:spacing w:val="-7"/>
        </w:rPr>
        <w:t xml:space="preserve"> </w:t>
      </w:r>
      <w:r>
        <w:rPr>
          <w:b/>
          <w:bCs/>
          <w:spacing w:val="-7"/>
        </w:rPr>
        <w:t>购</w:t>
      </w:r>
      <w:r>
        <w:rPr>
          <w:spacing w:val="13"/>
        </w:rPr>
        <w:t xml:space="preserve"> </w:t>
      </w:r>
      <w:r>
        <w:rPr>
          <w:b/>
          <w:bCs/>
          <w:spacing w:val="-7"/>
        </w:rPr>
        <w:t>单</w:t>
      </w:r>
      <w:r>
        <w:rPr>
          <w:spacing w:val="14"/>
        </w:rPr>
        <w:t xml:space="preserve"> </w:t>
      </w:r>
      <w:r>
        <w:rPr>
          <w:b/>
          <w:bCs/>
          <w:spacing w:val="-7"/>
        </w:rPr>
        <w:t>位</w:t>
      </w:r>
      <w:r>
        <w:rPr>
          <w:spacing w:val="-99"/>
        </w:rPr>
        <w:t xml:space="preserve"> </w:t>
      </w:r>
      <w:r>
        <w:rPr>
          <w:b/>
          <w:bCs/>
          <w:spacing w:val="-7"/>
        </w:rPr>
        <w:t>：</w:t>
      </w:r>
      <w:r>
        <w:rPr>
          <w:u w:val="single" w:color="auto"/>
        </w:rPr>
        <w:tab/>
      </w:r>
      <w:r>
        <w:t xml:space="preserve"> </w:t>
      </w:r>
      <w:r>
        <w:rPr>
          <w:b/>
          <w:bCs/>
          <w:spacing w:val="5"/>
        </w:rPr>
        <w:t>预算主管部门：</w:t>
      </w:r>
      <w:r>
        <w:rPr>
          <w:u w:val="single" w:color="auto"/>
        </w:rPr>
        <w:tab/>
      </w:r>
      <w:r>
        <w:t xml:space="preserve"> </w:t>
      </w:r>
      <w:r>
        <w:rPr>
          <w:b/>
          <w:bCs/>
          <w:spacing w:val="-14"/>
        </w:rPr>
        <w:t>审</w:t>
      </w:r>
      <w:r>
        <w:rPr>
          <w:spacing w:val="12"/>
        </w:rPr>
        <w:t xml:space="preserve"> </w:t>
      </w:r>
      <w:r>
        <w:rPr>
          <w:b/>
          <w:bCs/>
          <w:spacing w:val="-14"/>
        </w:rPr>
        <w:t>查</w:t>
      </w:r>
      <w:r>
        <w:rPr>
          <w:spacing w:val="13"/>
        </w:rPr>
        <w:t xml:space="preserve"> </w:t>
      </w:r>
      <w:r>
        <w:rPr>
          <w:b/>
          <w:bCs/>
          <w:spacing w:val="-14"/>
        </w:rPr>
        <w:t>时</w:t>
      </w:r>
      <w:r>
        <w:rPr>
          <w:spacing w:val="30"/>
        </w:rPr>
        <w:t xml:space="preserve"> </w:t>
      </w:r>
      <w:r>
        <w:rPr>
          <w:b/>
          <w:bCs/>
          <w:spacing w:val="-14"/>
        </w:rPr>
        <w:t>间</w:t>
      </w:r>
      <w:r>
        <w:rPr>
          <w:spacing w:val="-99"/>
        </w:rPr>
        <w:t xml:space="preserve"> </w:t>
      </w:r>
      <w:r>
        <w:rPr>
          <w:b/>
          <w:bCs/>
          <w:spacing w:val="-14"/>
        </w:rPr>
        <w:t>：</w:t>
      </w:r>
      <w:r>
        <w:rPr>
          <w:u w:val="single" w:color="auto"/>
        </w:rPr>
        <w:t xml:space="preserve">                      </w:t>
      </w:r>
    </w:p>
    <w:p>
      <w:pPr>
        <w:spacing w:line="362" w:lineRule="auto"/>
        <w:sectPr>
          <w:headerReference r:id="rId5" w:type="default"/>
          <w:footerReference r:id="rId6" w:type="default"/>
          <w:pgSz w:w="11906" w:h="16839"/>
          <w:pgMar w:top="1431" w:right="1785" w:bottom="1271" w:left="1785" w:header="0" w:footer="992" w:gutter="0"/>
          <w:pgNumType w:fmt="decimal" w:start="1"/>
          <w:cols w:space="720" w:num="1"/>
        </w:sectPr>
      </w:pPr>
    </w:p>
    <w:p>
      <w:pPr>
        <w:pStyle w:val="2"/>
        <w:spacing w:before="235" w:line="218" w:lineRule="auto"/>
        <w:ind w:left="2966"/>
        <w:outlineLvl w:val="0"/>
        <w:rPr>
          <w:sz w:val="43"/>
          <w:szCs w:val="43"/>
        </w:rPr>
      </w:pPr>
      <w:r>
        <w:rPr>
          <w:b/>
          <w:bCs/>
          <w:sz w:val="43"/>
          <w:szCs w:val="43"/>
        </w:rPr>
        <w:t>审</w:t>
      </w:r>
      <w:r>
        <w:rPr>
          <w:sz w:val="43"/>
          <w:szCs w:val="43"/>
        </w:rPr>
        <w:t xml:space="preserve"> </w:t>
      </w:r>
      <w:r>
        <w:rPr>
          <w:b/>
          <w:bCs/>
          <w:sz w:val="43"/>
          <w:szCs w:val="43"/>
        </w:rPr>
        <w:t>查</w:t>
      </w:r>
      <w:r>
        <w:rPr>
          <w:spacing w:val="9"/>
          <w:sz w:val="43"/>
          <w:szCs w:val="43"/>
        </w:rPr>
        <w:t xml:space="preserve"> </w:t>
      </w:r>
      <w:r>
        <w:rPr>
          <w:b/>
          <w:bCs/>
          <w:sz w:val="43"/>
          <w:szCs w:val="43"/>
        </w:rPr>
        <w:t>说</w:t>
      </w:r>
      <w:r>
        <w:rPr>
          <w:spacing w:val="29"/>
          <w:sz w:val="43"/>
          <w:szCs w:val="43"/>
        </w:rPr>
        <w:t xml:space="preserve"> </w:t>
      </w:r>
      <w:r>
        <w:rPr>
          <w:b/>
          <w:bCs/>
          <w:sz w:val="43"/>
          <w:szCs w:val="43"/>
        </w:rPr>
        <w:t>明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01" w:line="298" w:lineRule="auto"/>
        <w:ind w:left="34" w:firstLine="638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</w:rPr>
        <w:t>一、</w:t>
      </w:r>
      <w:r>
        <w:rPr>
          <w:rFonts w:ascii="仿宋" w:hAnsi="仿宋" w:eastAsia="仿宋" w:cs="仿宋"/>
          <w:spacing w:val="-1"/>
          <w:sz w:val="31"/>
          <w:szCs w:val="31"/>
        </w:rPr>
        <w:t>采购人应当建立审查工作机制，在采购活动开始前，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针对采购需求管理中的重点风险事项，对采购需求和采购实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施计划进行审查。</w:t>
      </w:r>
    </w:p>
    <w:p>
      <w:pPr>
        <w:spacing w:before="180" w:line="280" w:lineRule="auto"/>
        <w:ind w:left="50" w:right="90" w:firstLine="622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</w:t>
      </w:r>
      <w:r>
        <w:rPr>
          <w:rFonts w:ascii="仿宋" w:hAnsi="仿宋" w:eastAsia="仿宋" w:cs="仿宋"/>
          <w:spacing w:val="8"/>
          <w:sz w:val="31"/>
          <w:szCs w:val="31"/>
        </w:rPr>
        <w:t>一般性审查的具体采购项目范围，由采购人根据实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际情况确定。</w:t>
      </w:r>
    </w:p>
    <w:p>
      <w:pPr>
        <w:spacing w:before="178" w:line="299" w:lineRule="auto"/>
        <w:ind w:left="34" w:right="88" w:firstLine="639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</w:t>
      </w:r>
      <w:r>
        <w:rPr>
          <w:rFonts w:ascii="仿宋" w:hAnsi="仿宋" w:eastAsia="仿宋" w:cs="仿宋"/>
          <w:spacing w:val="8"/>
          <w:sz w:val="31"/>
          <w:szCs w:val="31"/>
        </w:rPr>
        <w:t>审查应当符合《财政部关于印发政府采购需求管理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办法的通知》（财库〔2021〕22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号）要求及政府</w:t>
      </w:r>
      <w:r>
        <w:rPr>
          <w:rFonts w:ascii="仿宋" w:hAnsi="仿宋" w:eastAsia="仿宋" w:cs="仿宋"/>
          <w:spacing w:val="3"/>
          <w:sz w:val="31"/>
          <w:szCs w:val="31"/>
        </w:rPr>
        <w:t>采购的相关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规定。</w:t>
      </w:r>
    </w:p>
    <w:p>
      <w:pPr>
        <w:spacing w:before="176" w:line="279" w:lineRule="auto"/>
        <w:ind w:left="35" w:right="90" w:firstLine="651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四、</w:t>
      </w:r>
      <w:r>
        <w:rPr>
          <w:rFonts w:ascii="仿宋" w:hAnsi="仿宋" w:eastAsia="仿宋" w:cs="仿宋"/>
          <w:spacing w:val="8"/>
          <w:sz w:val="31"/>
          <w:szCs w:val="31"/>
        </w:rPr>
        <w:t>对于审查不通过的，应当修改采购需求和采购</w:t>
      </w:r>
      <w:r>
        <w:rPr>
          <w:rFonts w:ascii="仿宋" w:hAnsi="仿宋" w:eastAsia="仿宋" w:cs="仿宋"/>
          <w:spacing w:val="7"/>
          <w:sz w:val="31"/>
          <w:szCs w:val="31"/>
        </w:rPr>
        <w:t>实施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计划的内容并重新进行审查。</w:t>
      </w:r>
    </w:p>
    <w:p>
      <w:pPr>
        <w:spacing w:before="180" w:line="227" w:lineRule="auto"/>
        <w:ind w:left="675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</w:t>
      </w:r>
      <w:r>
        <w:rPr>
          <w:rFonts w:ascii="仿宋" w:hAnsi="仿宋" w:eastAsia="仿宋" w:cs="仿宋"/>
          <w:spacing w:val="8"/>
          <w:sz w:val="31"/>
          <w:szCs w:val="31"/>
        </w:rPr>
        <w:t>斜体字部分属于提醒内容，编制时应删除。</w:t>
      </w:r>
    </w:p>
    <w:p>
      <w:pPr>
        <w:spacing w:before="180" w:line="226" w:lineRule="auto"/>
        <w:ind w:left="677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六、</w:t>
      </w:r>
      <w:r>
        <w:rPr>
          <w:rFonts w:ascii="仿宋" w:hAnsi="仿宋" w:eastAsia="仿宋" w:cs="仿宋"/>
          <w:spacing w:val="8"/>
          <w:sz w:val="31"/>
          <w:szCs w:val="31"/>
        </w:rPr>
        <w:t>对不适用的内容应删除，并调整相应序号。</w:t>
      </w:r>
    </w:p>
    <w:p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headerReference r:id="rId7" w:type="default"/>
          <w:footerReference r:id="rId8" w:type="default"/>
          <w:pgSz w:w="11906" w:h="16839"/>
          <w:pgMar w:top="1431" w:right="1711" w:bottom="1270" w:left="1785" w:header="0" w:footer="992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textAlignment w:val="baseline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一、审查项目情况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（一）审查项目名称：</w:t>
      </w:r>
      <w:r>
        <w:rPr>
          <w:rFonts w:ascii="楷体" w:hAnsi="楷体" w:eastAsia="楷体" w:cs="楷体"/>
          <w:sz w:val="31"/>
          <w:szCs w:val="31"/>
          <w:u w:val="single" w:color="auto"/>
        </w:rPr>
        <w:t xml:space="preserve">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textAlignment w:val="baseline"/>
        <w:rPr>
          <w:rFonts w:ascii="楷体" w:hAnsi="楷体" w:eastAsia="楷体" w:cs="楷体"/>
          <w:spacing w:val="-3"/>
          <w:sz w:val="31"/>
          <w:szCs w:val="31"/>
        </w:rPr>
      </w:pPr>
      <w:r>
        <w:rPr>
          <w:rFonts w:ascii="楷体" w:hAnsi="楷体" w:eastAsia="楷体" w:cs="楷体"/>
          <w:spacing w:val="-3"/>
          <w:sz w:val="31"/>
          <w:szCs w:val="31"/>
        </w:rPr>
        <w:t>（二）审查对象：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1.采购需求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参与确定采购需求的专家、第三方机构：</w:t>
      </w:r>
    </w:p>
    <w:p>
      <w:pPr>
        <w:keepNext w:val="0"/>
        <w:keepLines w:val="0"/>
        <w:pageBreakBefore w:val="0"/>
        <w:widowControl/>
        <w:tabs>
          <w:tab w:val="left" w:pos="864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420" w:firstLineChars="200"/>
        <w:textAlignment w:val="baseline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4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2.采购实施计划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52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参与确定采购实施计划的专家、第三方机构：</w:t>
      </w:r>
    </w:p>
    <w:p>
      <w:pPr>
        <w:keepNext w:val="0"/>
        <w:keepLines w:val="0"/>
        <w:pageBreakBefore w:val="0"/>
        <w:widowControl/>
        <w:tabs>
          <w:tab w:val="left" w:pos="864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420" w:firstLineChars="200"/>
        <w:textAlignment w:val="baseline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8" w:firstLineChars="200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二、审查人员</w:t>
      </w:r>
    </w:p>
    <w:p>
      <w:pPr>
        <w:spacing w:line="45" w:lineRule="auto"/>
        <w:rPr>
          <w:rFonts w:ascii="Arial"/>
          <w:sz w:val="2"/>
        </w:rPr>
      </w:pPr>
    </w:p>
    <w:tbl>
      <w:tblPr>
        <w:tblStyle w:val="7"/>
        <w:tblW w:w="870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1313"/>
        <w:gridCol w:w="2272"/>
        <w:gridCol w:w="1590"/>
        <w:gridCol w:w="1590"/>
        <w:gridCol w:w="10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889" w:type="dxa"/>
            <w:vAlign w:val="top"/>
          </w:tcPr>
          <w:p>
            <w:pPr>
              <w:spacing w:before="179" w:line="226" w:lineRule="auto"/>
              <w:ind w:left="15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序号</w:t>
            </w:r>
          </w:p>
        </w:tc>
        <w:tc>
          <w:tcPr>
            <w:tcW w:w="1313" w:type="dxa"/>
            <w:vAlign w:val="top"/>
          </w:tcPr>
          <w:p>
            <w:pPr>
              <w:spacing w:before="179" w:line="226" w:lineRule="auto"/>
              <w:ind w:left="19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姓名</w:t>
            </w:r>
          </w:p>
        </w:tc>
        <w:tc>
          <w:tcPr>
            <w:tcW w:w="2272" w:type="dxa"/>
            <w:vAlign w:val="top"/>
          </w:tcPr>
          <w:p>
            <w:pPr>
              <w:spacing w:before="179" w:line="226" w:lineRule="auto"/>
              <w:ind w:left="200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5"/>
                <w:sz w:val="31"/>
                <w:szCs w:val="31"/>
              </w:rPr>
              <w:t>单位</w:t>
            </w:r>
            <w:r>
              <w:rPr>
                <w:rFonts w:hint="eastAsia" w:ascii="仿宋" w:hAnsi="仿宋" w:eastAsia="仿宋" w:cs="仿宋"/>
                <w:spacing w:val="-5"/>
                <w:sz w:val="31"/>
                <w:szCs w:val="31"/>
                <w:lang w:eastAsia="zh-CN"/>
              </w:rPr>
              <w:t>及所属部门</w:t>
            </w:r>
          </w:p>
        </w:tc>
        <w:tc>
          <w:tcPr>
            <w:tcW w:w="1590" w:type="dxa"/>
            <w:vAlign w:val="top"/>
          </w:tcPr>
          <w:p>
            <w:pPr>
              <w:spacing w:before="179" w:line="226" w:lineRule="auto"/>
              <w:ind w:left="16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职务/职称</w:t>
            </w:r>
          </w:p>
        </w:tc>
        <w:tc>
          <w:tcPr>
            <w:tcW w:w="1590" w:type="dxa"/>
            <w:vAlign w:val="top"/>
          </w:tcPr>
          <w:p>
            <w:pPr>
              <w:spacing w:before="179" w:line="226" w:lineRule="auto"/>
              <w:ind w:left="27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联系方式</w:t>
            </w:r>
          </w:p>
        </w:tc>
        <w:tc>
          <w:tcPr>
            <w:tcW w:w="1050" w:type="dxa"/>
            <w:vAlign w:val="top"/>
          </w:tcPr>
          <w:p>
            <w:pPr>
              <w:spacing w:before="179" w:line="226" w:lineRule="auto"/>
              <w:ind w:left="22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889" w:type="dxa"/>
            <w:vAlign w:val="top"/>
          </w:tcPr>
          <w:p>
            <w:pPr>
              <w:pStyle w:val="8"/>
            </w:pPr>
          </w:p>
        </w:tc>
        <w:tc>
          <w:tcPr>
            <w:tcW w:w="1313" w:type="dxa"/>
            <w:vAlign w:val="top"/>
          </w:tcPr>
          <w:p>
            <w:pPr>
              <w:pStyle w:val="8"/>
            </w:pPr>
          </w:p>
        </w:tc>
        <w:tc>
          <w:tcPr>
            <w:tcW w:w="2272" w:type="dxa"/>
            <w:vAlign w:val="top"/>
          </w:tcPr>
          <w:p>
            <w:pPr>
              <w:pStyle w:val="8"/>
            </w:pPr>
          </w:p>
        </w:tc>
        <w:tc>
          <w:tcPr>
            <w:tcW w:w="1590" w:type="dxa"/>
            <w:vAlign w:val="top"/>
          </w:tcPr>
          <w:p>
            <w:pPr>
              <w:pStyle w:val="8"/>
            </w:pPr>
          </w:p>
        </w:tc>
        <w:tc>
          <w:tcPr>
            <w:tcW w:w="1590" w:type="dxa"/>
            <w:vAlign w:val="top"/>
          </w:tcPr>
          <w:p>
            <w:pPr>
              <w:pStyle w:val="8"/>
            </w:pPr>
          </w:p>
        </w:tc>
        <w:tc>
          <w:tcPr>
            <w:tcW w:w="1050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889" w:type="dxa"/>
            <w:vAlign w:val="top"/>
          </w:tcPr>
          <w:p>
            <w:pPr>
              <w:pStyle w:val="8"/>
            </w:pPr>
          </w:p>
        </w:tc>
        <w:tc>
          <w:tcPr>
            <w:tcW w:w="1313" w:type="dxa"/>
            <w:vAlign w:val="top"/>
          </w:tcPr>
          <w:p>
            <w:pPr>
              <w:pStyle w:val="8"/>
            </w:pPr>
          </w:p>
        </w:tc>
        <w:tc>
          <w:tcPr>
            <w:tcW w:w="2272" w:type="dxa"/>
            <w:vAlign w:val="top"/>
          </w:tcPr>
          <w:p>
            <w:pPr>
              <w:pStyle w:val="8"/>
            </w:pPr>
          </w:p>
        </w:tc>
        <w:tc>
          <w:tcPr>
            <w:tcW w:w="1590" w:type="dxa"/>
            <w:vAlign w:val="top"/>
          </w:tcPr>
          <w:p>
            <w:pPr>
              <w:pStyle w:val="8"/>
            </w:pPr>
          </w:p>
        </w:tc>
        <w:tc>
          <w:tcPr>
            <w:tcW w:w="1590" w:type="dxa"/>
            <w:vAlign w:val="top"/>
          </w:tcPr>
          <w:p>
            <w:pPr>
              <w:pStyle w:val="8"/>
            </w:pPr>
          </w:p>
        </w:tc>
        <w:tc>
          <w:tcPr>
            <w:tcW w:w="1050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889" w:type="dxa"/>
            <w:vAlign w:val="top"/>
          </w:tcPr>
          <w:p>
            <w:pPr>
              <w:pStyle w:val="8"/>
            </w:pPr>
          </w:p>
        </w:tc>
        <w:tc>
          <w:tcPr>
            <w:tcW w:w="1313" w:type="dxa"/>
            <w:vAlign w:val="top"/>
          </w:tcPr>
          <w:p>
            <w:pPr>
              <w:pStyle w:val="8"/>
            </w:pPr>
          </w:p>
        </w:tc>
        <w:tc>
          <w:tcPr>
            <w:tcW w:w="2272" w:type="dxa"/>
            <w:vAlign w:val="top"/>
          </w:tcPr>
          <w:p>
            <w:pPr>
              <w:pStyle w:val="8"/>
            </w:pPr>
          </w:p>
        </w:tc>
        <w:tc>
          <w:tcPr>
            <w:tcW w:w="1590" w:type="dxa"/>
            <w:vAlign w:val="top"/>
          </w:tcPr>
          <w:p>
            <w:pPr>
              <w:pStyle w:val="8"/>
            </w:pPr>
          </w:p>
        </w:tc>
        <w:tc>
          <w:tcPr>
            <w:tcW w:w="1590" w:type="dxa"/>
            <w:vAlign w:val="top"/>
          </w:tcPr>
          <w:p>
            <w:pPr>
              <w:pStyle w:val="8"/>
            </w:pPr>
          </w:p>
        </w:tc>
        <w:tc>
          <w:tcPr>
            <w:tcW w:w="1050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889" w:type="dxa"/>
            <w:vAlign w:val="top"/>
          </w:tcPr>
          <w:p>
            <w:pPr>
              <w:pStyle w:val="8"/>
            </w:pPr>
          </w:p>
        </w:tc>
        <w:tc>
          <w:tcPr>
            <w:tcW w:w="1313" w:type="dxa"/>
            <w:vAlign w:val="top"/>
          </w:tcPr>
          <w:p>
            <w:pPr>
              <w:pStyle w:val="8"/>
            </w:pPr>
          </w:p>
        </w:tc>
        <w:tc>
          <w:tcPr>
            <w:tcW w:w="2272" w:type="dxa"/>
            <w:vAlign w:val="top"/>
          </w:tcPr>
          <w:p>
            <w:pPr>
              <w:pStyle w:val="8"/>
            </w:pPr>
          </w:p>
        </w:tc>
        <w:tc>
          <w:tcPr>
            <w:tcW w:w="1590" w:type="dxa"/>
            <w:vAlign w:val="top"/>
          </w:tcPr>
          <w:p>
            <w:pPr>
              <w:pStyle w:val="8"/>
            </w:pPr>
          </w:p>
        </w:tc>
        <w:tc>
          <w:tcPr>
            <w:tcW w:w="1590" w:type="dxa"/>
            <w:vAlign w:val="top"/>
          </w:tcPr>
          <w:p>
            <w:pPr>
              <w:pStyle w:val="8"/>
            </w:pPr>
          </w:p>
        </w:tc>
        <w:tc>
          <w:tcPr>
            <w:tcW w:w="1050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889" w:type="dxa"/>
            <w:vAlign w:val="top"/>
          </w:tcPr>
          <w:p>
            <w:pPr>
              <w:pStyle w:val="8"/>
            </w:pPr>
          </w:p>
        </w:tc>
        <w:tc>
          <w:tcPr>
            <w:tcW w:w="1313" w:type="dxa"/>
            <w:vAlign w:val="top"/>
          </w:tcPr>
          <w:p>
            <w:pPr>
              <w:pStyle w:val="8"/>
            </w:pPr>
          </w:p>
        </w:tc>
        <w:tc>
          <w:tcPr>
            <w:tcW w:w="2272" w:type="dxa"/>
            <w:vAlign w:val="top"/>
          </w:tcPr>
          <w:p>
            <w:pPr>
              <w:pStyle w:val="8"/>
            </w:pPr>
          </w:p>
        </w:tc>
        <w:tc>
          <w:tcPr>
            <w:tcW w:w="1590" w:type="dxa"/>
            <w:vAlign w:val="top"/>
          </w:tcPr>
          <w:p>
            <w:pPr>
              <w:pStyle w:val="8"/>
            </w:pPr>
          </w:p>
        </w:tc>
        <w:tc>
          <w:tcPr>
            <w:tcW w:w="1590" w:type="dxa"/>
            <w:vAlign w:val="top"/>
          </w:tcPr>
          <w:p>
            <w:pPr>
              <w:pStyle w:val="8"/>
            </w:pPr>
          </w:p>
        </w:tc>
        <w:tc>
          <w:tcPr>
            <w:tcW w:w="1050" w:type="dxa"/>
            <w:vAlign w:val="top"/>
          </w:tcPr>
          <w:p>
            <w:pPr>
              <w:pStyle w:val="8"/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jc w:val="both"/>
        <w:textAlignment w:val="baseline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i/>
          <w:iCs/>
          <w:spacing w:val="-9"/>
          <w:sz w:val="33"/>
          <w:szCs w:val="33"/>
          <w:u w:val="single" w:color="auto"/>
        </w:rPr>
        <w:t>审查工作机制成员应当包括本部门、本单位的采购、</w:t>
      </w:r>
      <w:r>
        <w:rPr>
          <w:rFonts w:ascii="仿宋" w:hAnsi="仿宋" w:eastAsia="仿宋" w:cs="仿宋"/>
          <w:i/>
          <w:iCs/>
          <w:spacing w:val="-9"/>
          <w:sz w:val="33"/>
          <w:szCs w:val="33"/>
        </w:rPr>
        <w:t>财</w:t>
      </w:r>
      <w:r>
        <w:rPr>
          <w:rFonts w:ascii="仿宋" w:hAnsi="仿宋" w:eastAsia="仿宋" w:cs="仿宋"/>
          <w:spacing w:val="16"/>
          <w:sz w:val="33"/>
          <w:szCs w:val="33"/>
        </w:rPr>
        <w:t xml:space="preserve"> </w:t>
      </w:r>
      <w:r>
        <w:rPr>
          <w:rFonts w:ascii="仿宋" w:hAnsi="仿宋" w:eastAsia="仿宋" w:cs="仿宋"/>
          <w:i/>
          <w:iCs/>
          <w:spacing w:val="-8"/>
          <w:sz w:val="33"/>
          <w:szCs w:val="33"/>
          <w:u w:val="single" w:color="auto"/>
        </w:rPr>
        <w:t>务、业务、监督等内部机构。采购人可以根据本单位实际</w:t>
      </w:r>
      <w:r>
        <w:rPr>
          <w:rFonts w:ascii="仿宋" w:hAnsi="仿宋" w:eastAsia="仿宋" w:cs="仿宋"/>
          <w:i/>
          <w:iCs/>
          <w:spacing w:val="-8"/>
          <w:sz w:val="33"/>
          <w:szCs w:val="33"/>
        </w:rPr>
        <w:t>情</w:t>
      </w:r>
      <w:r>
        <w:rPr>
          <w:rFonts w:ascii="仿宋" w:hAnsi="仿宋" w:eastAsia="仿宋" w:cs="仿宋"/>
          <w:i/>
          <w:iCs/>
          <w:spacing w:val="-7"/>
          <w:sz w:val="33"/>
          <w:szCs w:val="33"/>
          <w:u w:val="single" w:color="auto"/>
        </w:rPr>
        <w:t>况，建立相关专家和第三方机构参与审查的工作机制。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textAlignment w:val="baseline"/>
        <w:rPr>
          <w:rFonts w:ascii="仿宋" w:hAnsi="仿宋" w:eastAsia="仿宋" w:cs="仿宋"/>
          <w:i/>
          <w:iCs/>
          <w:spacing w:val="-2"/>
          <w:sz w:val="33"/>
          <w:szCs w:val="33"/>
          <w:u w:val="single" w:color="auto"/>
        </w:rPr>
      </w:pPr>
      <w:r>
        <w:rPr>
          <w:rFonts w:ascii="仿宋" w:hAnsi="仿宋" w:eastAsia="仿宋" w:cs="仿宋"/>
          <w:i/>
          <w:iCs/>
          <w:spacing w:val="-8"/>
          <w:sz w:val="33"/>
          <w:szCs w:val="33"/>
          <w:u w:val="single" w:color="auto"/>
        </w:rPr>
        <w:t>参与确定采购需求和编制采购实施计划的专家和第三</w:t>
      </w:r>
      <w:r>
        <w:rPr>
          <w:rFonts w:ascii="仿宋" w:hAnsi="仿宋" w:eastAsia="仿宋" w:cs="仿宋"/>
          <w:i/>
          <w:iCs/>
          <w:spacing w:val="-2"/>
          <w:sz w:val="33"/>
          <w:szCs w:val="33"/>
          <w:u w:val="single" w:color="auto"/>
        </w:rPr>
        <w:t>方机构不得参与审查。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 w:firstLineChars="200"/>
        <w:textAlignment w:val="baseline"/>
        <w:rPr>
          <w:rFonts w:ascii="仿宋" w:hAnsi="仿宋" w:eastAsia="仿宋" w:cs="仿宋"/>
          <w:i/>
          <w:iCs/>
          <w:spacing w:val="-2"/>
          <w:sz w:val="33"/>
          <w:szCs w:val="33"/>
          <w:u w:val="single" w:color="auto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textAlignment w:val="baseline"/>
        <w:rPr>
          <w:rFonts w:ascii="黑体" w:hAnsi="黑体" w:eastAsia="黑体" w:cs="黑体"/>
          <w:spacing w:val="6"/>
          <w:sz w:val="31"/>
          <w:szCs w:val="31"/>
        </w:rPr>
        <w:sectPr>
          <w:headerReference r:id="rId9" w:type="default"/>
          <w:footerReference r:id="rId10" w:type="default"/>
          <w:pgSz w:w="11906" w:h="16839"/>
          <w:pgMar w:top="1431" w:right="1785" w:bottom="400" w:left="1597" w:header="0" w:footer="992" w:gutter="0"/>
          <w:pgNumType w:fmt="decimal" w:start="1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三、审查会议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textAlignment w:val="baseline"/>
        <w:rPr>
          <w:rFonts w:ascii="仿宋" w:hAnsi="仿宋" w:eastAsia="仿宋" w:cs="仿宋"/>
          <w:spacing w:val="2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1.审查时间：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                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2.审查地点：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textAlignment w:val="baseline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四、审查意见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一般性审查主要审查</w:t>
      </w:r>
      <w:r>
        <w:rPr>
          <w:rFonts w:ascii="仿宋" w:hAnsi="仿宋" w:eastAsia="仿宋" w:cs="仿宋"/>
          <w:spacing w:val="3"/>
          <w:sz w:val="28"/>
          <w:szCs w:val="28"/>
        </w:rPr>
        <w:t>是否按照《政府采购需求管理办法》规</w:t>
      </w:r>
      <w:r>
        <w:rPr>
          <w:rFonts w:ascii="仿宋" w:hAnsi="仿宋" w:eastAsia="仿宋" w:cs="仿宋"/>
          <w:spacing w:val="1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定的程序和内容确定采购需求、编制采购实施计</w:t>
      </w:r>
      <w:r>
        <w:rPr>
          <w:rFonts w:ascii="仿宋" w:hAnsi="仿宋" w:eastAsia="仿宋" w:cs="仿宋"/>
          <w:spacing w:val="-2"/>
          <w:sz w:val="28"/>
          <w:szCs w:val="28"/>
        </w:rPr>
        <w:t>划</w:t>
      </w:r>
      <w:r>
        <w:rPr>
          <w:rFonts w:ascii="仿宋" w:hAnsi="仿宋" w:eastAsia="仿宋" w:cs="仿宋"/>
          <w:spacing w:val="-2"/>
          <w:sz w:val="31"/>
          <w:szCs w:val="31"/>
        </w:rPr>
        <w:t>。</w:t>
      </w:r>
    </w:p>
    <w:tbl>
      <w:tblPr>
        <w:tblStyle w:val="7"/>
        <w:tblW w:w="85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2"/>
        <w:gridCol w:w="21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402" w:type="dxa"/>
            <w:vAlign w:val="top"/>
          </w:tcPr>
          <w:p>
            <w:pPr>
              <w:spacing w:before="212" w:line="223" w:lineRule="auto"/>
              <w:ind w:left="24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31"/>
                <w:sz w:val="28"/>
                <w:szCs w:val="28"/>
              </w:rPr>
              <w:t>审</w:t>
            </w:r>
            <w:r>
              <w:rPr>
                <w:rFonts w:ascii="仿宋" w:hAnsi="仿宋" w:eastAsia="仿宋" w:cs="仿宋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1"/>
                <w:sz w:val="28"/>
                <w:szCs w:val="28"/>
              </w:rPr>
              <w:t>查</w:t>
            </w:r>
            <w:r>
              <w:rPr>
                <w:rFonts w:ascii="仿宋" w:hAnsi="仿宋" w:eastAsia="仿宋" w:cs="仿宋"/>
                <w:spacing w:val="5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1"/>
                <w:sz w:val="28"/>
                <w:szCs w:val="28"/>
              </w:rPr>
              <w:t>内</w:t>
            </w:r>
            <w:r>
              <w:rPr>
                <w:rFonts w:ascii="仿宋" w:hAnsi="仿宋" w:eastAsia="仿宋" w:cs="仿宋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1"/>
                <w:sz w:val="28"/>
                <w:szCs w:val="28"/>
              </w:rPr>
              <w:t>容</w:t>
            </w:r>
          </w:p>
        </w:tc>
        <w:tc>
          <w:tcPr>
            <w:tcW w:w="2138" w:type="dxa"/>
            <w:vAlign w:val="top"/>
          </w:tcPr>
          <w:p>
            <w:pPr>
              <w:spacing w:before="212" w:line="223" w:lineRule="auto"/>
              <w:ind w:left="54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8"/>
                <w:szCs w:val="28"/>
              </w:rPr>
              <w:t>审查结果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402" w:type="dxa"/>
            <w:vAlign w:val="top"/>
          </w:tcPr>
          <w:p>
            <w:pPr>
              <w:spacing w:before="209" w:line="223" w:lineRule="auto"/>
              <w:ind w:left="1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如需开展需求调查的，是否按规定开展需求调查</w:t>
            </w:r>
          </w:p>
        </w:tc>
        <w:tc>
          <w:tcPr>
            <w:tcW w:w="2138" w:type="dxa"/>
            <w:vAlign w:val="center"/>
          </w:tcPr>
          <w:p>
            <w:pPr>
              <w:pStyle w:val="8"/>
              <w:ind w:firstLine="640" w:firstLineChars="200"/>
              <w:jc w:val="both"/>
            </w:pPr>
            <w:r>
              <w:rPr>
                <w:rFonts w:hint="eastAsia" w:ascii="仿宋" w:hAnsi="仿宋" w:eastAsia="仿宋"/>
                <w:i w:val="0"/>
                <w:iCs/>
                <w:sz w:val="32"/>
                <w:szCs w:val="32"/>
                <w:u w:val="none"/>
              </w:rPr>
              <w:t>□</w:t>
            </w:r>
            <w:r>
              <w:rPr>
                <w:rFonts w:hint="eastAsia" w:ascii="仿宋" w:hAnsi="仿宋" w:eastAsia="仿宋"/>
                <w:i w:val="0"/>
                <w:iCs/>
                <w:sz w:val="32"/>
                <w:szCs w:val="32"/>
                <w:u w:val="none"/>
                <w:lang w:eastAsia="zh-CN"/>
              </w:rPr>
              <w:t>是</w:t>
            </w:r>
            <w:r>
              <w:rPr>
                <w:rFonts w:hint="eastAsia" w:ascii="仿宋" w:hAnsi="仿宋" w:eastAsia="仿宋"/>
                <w:i w:val="0"/>
                <w:iCs/>
                <w:sz w:val="32"/>
                <w:szCs w:val="32"/>
                <w:u w:val="none"/>
              </w:rPr>
              <w:t>□</w:t>
            </w:r>
            <w:r>
              <w:rPr>
                <w:rFonts w:hint="eastAsia" w:ascii="仿宋" w:hAnsi="仿宋" w:eastAsia="仿宋"/>
                <w:i w:val="0"/>
                <w:iCs/>
                <w:sz w:val="32"/>
                <w:szCs w:val="32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6402" w:type="dxa"/>
            <w:vAlign w:val="top"/>
          </w:tcPr>
          <w:p>
            <w:pPr>
              <w:spacing w:before="207" w:line="299" w:lineRule="auto"/>
              <w:ind w:left="131" w:right="103" w:hanging="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采购需求是否符合预算、资产、财务等管理制度规</w:t>
            </w:r>
            <w:r>
              <w:rPr>
                <w:rFonts w:ascii="仿宋" w:hAnsi="仿宋" w:eastAsia="仿宋" w:cs="仿宋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定</w:t>
            </w:r>
          </w:p>
        </w:tc>
        <w:tc>
          <w:tcPr>
            <w:tcW w:w="2138" w:type="dxa"/>
            <w:vAlign w:val="center"/>
          </w:tcPr>
          <w:p>
            <w:pPr>
              <w:pStyle w:val="8"/>
              <w:ind w:firstLine="640" w:firstLineChars="200"/>
              <w:jc w:val="both"/>
            </w:pPr>
            <w:r>
              <w:rPr>
                <w:rFonts w:hint="eastAsia" w:ascii="仿宋" w:hAnsi="仿宋" w:eastAsia="仿宋"/>
                <w:i w:val="0"/>
                <w:iCs/>
                <w:sz w:val="32"/>
                <w:szCs w:val="32"/>
                <w:u w:val="none"/>
              </w:rPr>
              <w:t>□</w:t>
            </w:r>
            <w:r>
              <w:rPr>
                <w:rFonts w:hint="eastAsia" w:ascii="仿宋" w:hAnsi="仿宋" w:eastAsia="仿宋"/>
                <w:i w:val="0"/>
                <w:iCs/>
                <w:sz w:val="32"/>
                <w:szCs w:val="32"/>
                <w:u w:val="none"/>
                <w:lang w:eastAsia="zh-CN"/>
              </w:rPr>
              <w:t>是</w:t>
            </w:r>
            <w:r>
              <w:rPr>
                <w:rFonts w:hint="eastAsia" w:ascii="仿宋" w:hAnsi="仿宋" w:eastAsia="仿宋"/>
                <w:i w:val="0"/>
                <w:iCs/>
                <w:sz w:val="32"/>
                <w:szCs w:val="32"/>
                <w:u w:val="none"/>
              </w:rPr>
              <w:t>□</w:t>
            </w:r>
            <w:r>
              <w:rPr>
                <w:rFonts w:hint="eastAsia" w:ascii="仿宋" w:hAnsi="仿宋" w:eastAsia="仿宋"/>
                <w:i w:val="0"/>
                <w:iCs/>
                <w:sz w:val="32"/>
                <w:szCs w:val="32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6402" w:type="dxa"/>
            <w:vAlign w:val="top"/>
          </w:tcPr>
          <w:p>
            <w:pPr>
              <w:spacing w:before="210" w:line="298" w:lineRule="auto"/>
              <w:ind w:left="126" w:right="103" w:firstLine="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对采购方式、评审规则、合同类型、定价方式的选</w:t>
            </w:r>
            <w:r>
              <w:rPr>
                <w:rFonts w:ascii="仿宋" w:hAnsi="仿宋" w:eastAsia="仿宋" w:cs="仿宋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择是否说明适用理由</w:t>
            </w:r>
          </w:p>
        </w:tc>
        <w:tc>
          <w:tcPr>
            <w:tcW w:w="2138" w:type="dxa"/>
            <w:vAlign w:val="center"/>
          </w:tcPr>
          <w:p>
            <w:pPr>
              <w:pStyle w:val="8"/>
              <w:ind w:firstLine="640" w:firstLineChars="200"/>
              <w:jc w:val="both"/>
            </w:pPr>
            <w:r>
              <w:rPr>
                <w:rFonts w:hint="eastAsia" w:ascii="仿宋" w:hAnsi="仿宋" w:eastAsia="仿宋"/>
                <w:i w:val="0"/>
                <w:iCs/>
                <w:sz w:val="32"/>
                <w:szCs w:val="32"/>
                <w:u w:val="none"/>
              </w:rPr>
              <w:t>□</w:t>
            </w:r>
            <w:r>
              <w:rPr>
                <w:rFonts w:hint="eastAsia" w:ascii="仿宋" w:hAnsi="仿宋" w:eastAsia="仿宋"/>
                <w:i w:val="0"/>
                <w:iCs/>
                <w:sz w:val="32"/>
                <w:szCs w:val="32"/>
                <w:u w:val="none"/>
                <w:lang w:eastAsia="zh-CN"/>
              </w:rPr>
              <w:t>是</w:t>
            </w:r>
            <w:r>
              <w:rPr>
                <w:rFonts w:hint="eastAsia" w:ascii="仿宋" w:hAnsi="仿宋" w:eastAsia="仿宋"/>
                <w:i w:val="0"/>
                <w:iCs/>
                <w:sz w:val="32"/>
                <w:szCs w:val="32"/>
                <w:u w:val="none"/>
              </w:rPr>
              <w:t>□</w:t>
            </w:r>
            <w:r>
              <w:rPr>
                <w:rFonts w:hint="eastAsia" w:ascii="仿宋" w:hAnsi="仿宋" w:eastAsia="仿宋"/>
                <w:i w:val="0"/>
                <w:iCs/>
                <w:sz w:val="32"/>
                <w:szCs w:val="32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6402" w:type="dxa"/>
            <w:vAlign w:val="top"/>
          </w:tcPr>
          <w:p>
            <w:pPr>
              <w:spacing w:before="210" w:line="298" w:lineRule="auto"/>
              <w:ind w:left="127" w:right="20" w:hanging="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属于按规定需要报相关监管部门批准、核准的事项，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是否作出相关安排</w:t>
            </w:r>
          </w:p>
        </w:tc>
        <w:tc>
          <w:tcPr>
            <w:tcW w:w="2138" w:type="dxa"/>
            <w:vAlign w:val="center"/>
          </w:tcPr>
          <w:p>
            <w:pPr>
              <w:pStyle w:val="8"/>
              <w:ind w:firstLine="640" w:firstLineChars="200"/>
              <w:jc w:val="both"/>
            </w:pPr>
            <w:r>
              <w:rPr>
                <w:rFonts w:hint="eastAsia" w:ascii="仿宋" w:hAnsi="仿宋" w:eastAsia="仿宋"/>
                <w:i w:val="0"/>
                <w:iCs/>
                <w:sz w:val="32"/>
                <w:szCs w:val="32"/>
                <w:u w:val="none"/>
              </w:rPr>
              <w:t>□</w:t>
            </w:r>
            <w:r>
              <w:rPr>
                <w:rFonts w:hint="eastAsia" w:ascii="仿宋" w:hAnsi="仿宋" w:eastAsia="仿宋"/>
                <w:i w:val="0"/>
                <w:iCs/>
                <w:sz w:val="32"/>
                <w:szCs w:val="32"/>
                <w:u w:val="none"/>
                <w:lang w:eastAsia="zh-CN"/>
              </w:rPr>
              <w:t>是</w:t>
            </w:r>
            <w:r>
              <w:rPr>
                <w:rFonts w:hint="eastAsia" w:ascii="仿宋" w:hAnsi="仿宋" w:eastAsia="仿宋"/>
                <w:i w:val="0"/>
                <w:iCs/>
                <w:sz w:val="32"/>
                <w:szCs w:val="32"/>
                <w:u w:val="none"/>
              </w:rPr>
              <w:t>□</w:t>
            </w:r>
            <w:r>
              <w:rPr>
                <w:rFonts w:hint="eastAsia" w:ascii="仿宋" w:hAnsi="仿宋" w:eastAsia="仿宋"/>
                <w:i w:val="0"/>
                <w:iCs/>
                <w:sz w:val="32"/>
                <w:szCs w:val="32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402" w:type="dxa"/>
            <w:vAlign w:val="top"/>
          </w:tcPr>
          <w:p>
            <w:pPr>
              <w:spacing w:before="212" w:line="223" w:lineRule="auto"/>
              <w:ind w:left="1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采购实施计划是否完整</w:t>
            </w:r>
          </w:p>
        </w:tc>
        <w:tc>
          <w:tcPr>
            <w:tcW w:w="2138" w:type="dxa"/>
            <w:vAlign w:val="center"/>
          </w:tcPr>
          <w:p>
            <w:pPr>
              <w:pStyle w:val="8"/>
              <w:ind w:firstLine="640" w:firstLineChars="200"/>
              <w:jc w:val="both"/>
            </w:pPr>
            <w:r>
              <w:rPr>
                <w:rFonts w:hint="eastAsia" w:ascii="仿宋" w:hAnsi="仿宋" w:eastAsia="仿宋"/>
                <w:i w:val="0"/>
                <w:iCs/>
                <w:sz w:val="32"/>
                <w:szCs w:val="32"/>
                <w:u w:val="none"/>
              </w:rPr>
              <w:t>□</w:t>
            </w:r>
            <w:r>
              <w:rPr>
                <w:rFonts w:hint="eastAsia" w:ascii="仿宋" w:hAnsi="仿宋" w:eastAsia="仿宋"/>
                <w:i w:val="0"/>
                <w:iCs/>
                <w:sz w:val="32"/>
                <w:szCs w:val="32"/>
                <w:u w:val="none"/>
                <w:lang w:eastAsia="zh-CN"/>
              </w:rPr>
              <w:t>是</w:t>
            </w:r>
            <w:r>
              <w:rPr>
                <w:rFonts w:hint="eastAsia" w:ascii="仿宋" w:hAnsi="仿宋" w:eastAsia="仿宋"/>
                <w:i w:val="0"/>
                <w:iCs/>
                <w:sz w:val="32"/>
                <w:szCs w:val="32"/>
                <w:u w:val="none"/>
              </w:rPr>
              <w:t>□</w:t>
            </w:r>
            <w:r>
              <w:rPr>
                <w:rFonts w:hint="eastAsia" w:ascii="仿宋" w:hAnsi="仿宋" w:eastAsia="仿宋"/>
                <w:i w:val="0"/>
                <w:iCs/>
                <w:sz w:val="32"/>
                <w:szCs w:val="32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402" w:type="dxa"/>
            <w:vAlign w:val="top"/>
          </w:tcPr>
          <w:p>
            <w:pPr>
              <w:spacing w:before="211" w:line="223" w:lineRule="auto"/>
              <w:ind w:firstLine="2541" w:firstLineChars="10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8"/>
                <w:szCs w:val="28"/>
              </w:rPr>
              <w:t>审查结论</w:t>
            </w:r>
          </w:p>
        </w:tc>
        <w:tc>
          <w:tcPr>
            <w:tcW w:w="2138" w:type="dxa"/>
            <w:vAlign w:val="top"/>
          </w:tcPr>
          <w:p>
            <w:pPr>
              <w:spacing w:before="211" w:line="226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  <w:lang w:eastAsia="zh-CN"/>
              </w:rPr>
              <w:t>通过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  <w:lang w:eastAsia="zh-CN"/>
              </w:rPr>
              <w:t>不通过</w:t>
            </w:r>
          </w:p>
        </w:tc>
      </w:tr>
    </w:tbl>
    <w:p>
      <w:pPr>
        <w:spacing w:before="179" w:line="228" w:lineRule="auto"/>
        <w:ind w:left="154"/>
        <w:rPr>
          <w:rFonts w:ascii="仿宋" w:hAnsi="仿宋" w:eastAsia="仿宋" w:cs="仿宋"/>
          <w:spacing w:val="-2"/>
          <w:sz w:val="31"/>
          <w:szCs w:val="31"/>
        </w:rPr>
        <w:sectPr>
          <w:footerReference r:id="rId11" w:type="default"/>
          <w:pgSz w:w="11906" w:h="16839"/>
          <w:pgMar w:top="1431" w:right="1785" w:bottom="400" w:left="1597" w:header="0" w:footer="992" w:gutter="0"/>
          <w:pgNumType w:fmt="decimal"/>
          <w:cols w:space="720" w:num="1"/>
        </w:sectPr>
      </w:pPr>
    </w:p>
    <w:tbl>
      <w:tblPr>
        <w:tblStyle w:val="7"/>
        <w:tblW w:w="89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8" w:hRule="atLeast"/>
        </w:trPr>
        <w:tc>
          <w:tcPr>
            <w:tcW w:w="894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632" w:firstLineChars="200"/>
              <w:textAlignment w:val="baseline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2"/>
                <w:sz w:val="32"/>
                <w:szCs w:val="32"/>
              </w:rPr>
              <w:t>审查意见：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560" w:firstLineChars="200"/>
              <w:textAlignment w:val="baseline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i/>
                <w:iCs/>
                <w:spacing w:val="-20"/>
                <w:sz w:val="32"/>
                <w:szCs w:val="32"/>
                <w:u w:val="single" w:color="auto"/>
              </w:rPr>
              <w:t>示例：经审查，采购需求、采购实施计划符合相关规定，</w:t>
            </w:r>
            <w:r>
              <w:rPr>
                <w:rFonts w:ascii="仿宋" w:hAnsi="仿宋" w:eastAsia="仿宋" w:cs="仿宋"/>
                <w:spacing w:val="16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i/>
                <w:iCs/>
                <w:spacing w:val="3"/>
                <w:sz w:val="32"/>
                <w:szCs w:val="32"/>
                <w:u w:val="single" w:color="auto"/>
              </w:rPr>
              <w:t>审查通过。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8345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608" w:firstLineChars="200"/>
              <w:jc w:val="both"/>
              <w:textAlignment w:val="baseline"/>
              <w:rPr>
                <w:rFonts w:ascii="仿宋" w:hAnsi="仿宋" w:eastAsia="仿宋" w:cs="仿宋"/>
                <w:sz w:val="33"/>
                <w:szCs w:val="33"/>
              </w:rPr>
            </w:pPr>
            <w:r>
              <w:rPr>
                <w:rFonts w:ascii="仿宋" w:hAnsi="仿宋" w:eastAsia="仿宋" w:cs="仿宋"/>
                <w:i/>
                <w:iCs/>
                <w:spacing w:val="-8"/>
                <w:sz w:val="32"/>
                <w:szCs w:val="32"/>
                <w:u w:val="single" w:color="auto"/>
              </w:rPr>
              <w:t>示例：经审查，选择的采购方式为竞争性磋商，但本</w:t>
            </w:r>
            <w:r>
              <w:rPr>
                <w:rFonts w:ascii="仿宋" w:hAnsi="仿宋" w:eastAsia="仿宋" w:cs="仿宋"/>
                <w:i/>
                <w:iCs/>
                <w:spacing w:val="-8"/>
                <w:sz w:val="32"/>
                <w:szCs w:val="32"/>
              </w:rPr>
              <w:t>项</w:t>
            </w:r>
            <w:r>
              <w:rPr>
                <w:rFonts w:ascii="仿宋" w:hAnsi="仿宋" w:eastAsia="仿宋" w:cs="仿宋"/>
                <w:i/>
                <w:iCs/>
                <w:spacing w:val="-20"/>
                <w:sz w:val="32"/>
                <w:szCs w:val="32"/>
                <w:u w:val="single" w:color="auto"/>
              </w:rPr>
              <w:t>目不符合《政府采购竞争性磋商采购方式管理暂行办法》（财</w:t>
            </w:r>
            <w:r>
              <w:rPr>
                <w:rFonts w:ascii="仿宋" w:hAnsi="仿宋" w:eastAsia="仿宋" w:cs="仿宋"/>
                <w:i/>
                <w:iCs/>
                <w:spacing w:val="-14"/>
                <w:sz w:val="32"/>
                <w:szCs w:val="32"/>
                <w:u w:val="single" w:color="auto"/>
              </w:rPr>
              <w:t>库〔2014〕214号）第三条规定的适用情形，审查不通过，</w:t>
            </w:r>
            <w:r>
              <w:rPr>
                <w:rFonts w:ascii="仿宋" w:hAnsi="仿宋" w:eastAsia="仿宋" w:cs="仿宋"/>
                <w:i/>
                <w:iCs/>
                <w:spacing w:val="-5"/>
                <w:sz w:val="32"/>
                <w:szCs w:val="32"/>
                <w:u w:val="single" w:color="auto"/>
              </w:rPr>
              <w:t>根据相关规定修改后，再重新进行审查。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textAlignment w:val="baseline"/>
        <w:rPr>
          <w:rFonts w:ascii="仿宋" w:hAnsi="仿宋" w:eastAsia="仿宋" w:cs="仿宋"/>
          <w:i/>
          <w:iCs/>
          <w:spacing w:val="-4"/>
          <w:sz w:val="33"/>
          <w:szCs w:val="33"/>
          <w:u w:val="single" w:color="auto"/>
        </w:rPr>
      </w:pPr>
      <w:r>
        <w:rPr>
          <w:rFonts w:ascii="仿宋" w:hAnsi="仿宋" w:eastAsia="仿宋" w:cs="仿宋"/>
          <w:i/>
          <w:iCs/>
          <w:spacing w:val="-9"/>
          <w:sz w:val="33"/>
          <w:szCs w:val="33"/>
          <w:u w:val="single" w:color="auto"/>
        </w:rPr>
        <w:t>审查结果为“通过”或“不通过”，审查结果“不通过</w:t>
      </w:r>
      <w:r>
        <w:rPr>
          <w:rFonts w:ascii="仿宋" w:hAnsi="仿宋" w:eastAsia="仿宋" w:cs="仿宋"/>
          <w:i/>
          <w:iCs/>
          <w:spacing w:val="-9"/>
          <w:sz w:val="33"/>
          <w:szCs w:val="33"/>
        </w:rPr>
        <w:t>”</w:t>
      </w:r>
      <w:r>
        <w:rPr>
          <w:rFonts w:ascii="仿宋" w:hAnsi="仿宋" w:eastAsia="仿宋" w:cs="仿宋"/>
          <w:spacing w:val="12"/>
          <w:sz w:val="33"/>
          <w:szCs w:val="33"/>
        </w:rPr>
        <w:t xml:space="preserve"> </w:t>
      </w:r>
      <w:r>
        <w:rPr>
          <w:rFonts w:ascii="仿宋" w:hAnsi="仿宋" w:eastAsia="仿宋" w:cs="仿宋"/>
          <w:i/>
          <w:iCs/>
          <w:spacing w:val="-4"/>
          <w:sz w:val="33"/>
          <w:szCs w:val="33"/>
          <w:u w:val="single" w:color="auto"/>
        </w:rPr>
        <w:t>的，还需说明具体原因。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textAlignment w:val="baseline"/>
        <w:rPr>
          <w:rFonts w:ascii="仿宋" w:hAnsi="仿宋" w:eastAsia="仿宋" w:cs="仿宋"/>
          <w:i/>
          <w:iCs/>
          <w:spacing w:val="-4"/>
          <w:sz w:val="33"/>
          <w:szCs w:val="33"/>
          <w:u w:val="single" w:color="auto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8" w:firstLineChars="200"/>
        <w:textAlignment w:val="baseline"/>
        <w:rPr>
          <w:rFonts w:ascii="仿宋" w:hAnsi="仿宋" w:eastAsia="仿宋" w:cs="仿宋"/>
          <w:sz w:val="33"/>
          <w:szCs w:val="33"/>
          <w:u w:val="single" w:color="auto"/>
        </w:rPr>
      </w:pPr>
      <w:r>
        <w:rPr>
          <w:rFonts w:ascii="仿宋" w:hAnsi="仿宋" w:eastAsia="仿宋" w:cs="仿宋"/>
          <w:i/>
          <w:iCs/>
          <w:spacing w:val="-18"/>
          <w:sz w:val="33"/>
          <w:szCs w:val="33"/>
          <w:u w:val="single" w:color="auto"/>
        </w:rPr>
        <w:t>审查结果全部为“通过”的，则审查结论为“通过”。</w:t>
      </w:r>
      <w:r>
        <w:rPr>
          <w:rFonts w:ascii="仿宋" w:hAnsi="仿宋" w:eastAsia="仿宋" w:cs="仿宋"/>
          <w:sz w:val="33"/>
          <w:szCs w:val="33"/>
          <w:u w:val="single" w:color="auto"/>
        </w:rPr>
        <w:t xml:space="preserve">  </w:t>
      </w:r>
      <w:r>
        <w:rPr>
          <w:rFonts w:ascii="仿宋" w:hAnsi="仿宋" w:eastAsia="仿宋" w:cs="仿宋"/>
          <w:i/>
          <w:iCs/>
          <w:spacing w:val="-18"/>
          <w:sz w:val="33"/>
          <w:szCs w:val="33"/>
          <w:u w:val="single" w:color="auto"/>
        </w:rPr>
        <w:t>审查结果有一项为“不通过”的，则审查结</w:t>
      </w:r>
      <w:r>
        <w:rPr>
          <w:rFonts w:ascii="仿宋" w:hAnsi="仿宋" w:eastAsia="仿宋" w:cs="仿宋"/>
          <w:i/>
          <w:iCs/>
          <w:spacing w:val="-19"/>
          <w:sz w:val="33"/>
          <w:szCs w:val="33"/>
          <w:u w:val="single" w:color="auto"/>
        </w:rPr>
        <w:t>论为“不通过”。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420" w:firstLineChars="200"/>
        <w:textAlignment w:val="baseline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01" w:line="228" w:lineRule="auto"/>
        <w:ind w:left="701"/>
        <w:rPr>
          <w:rFonts w:ascii="仿宋" w:hAnsi="仿宋" w:eastAsia="仿宋" w:cs="仿宋"/>
          <w:spacing w:val="3"/>
          <w:sz w:val="31"/>
          <w:szCs w:val="31"/>
        </w:rPr>
      </w:pPr>
    </w:p>
    <w:p>
      <w:pPr>
        <w:spacing w:before="101" w:line="228" w:lineRule="auto"/>
        <w:ind w:left="701"/>
        <w:rPr>
          <w:sz w:val="28"/>
          <w:szCs w:val="28"/>
        </w:rPr>
      </w:pPr>
      <w:r>
        <w:rPr>
          <w:rFonts w:ascii="仿宋" w:hAnsi="仿宋" w:eastAsia="仿宋" w:cs="仿宋"/>
          <w:spacing w:val="3"/>
          <w:sz w:val="31"/>
          <w:szCs w:val="31"/>
        </w:rPr>
        <w:t>审查人员（签字</w:t>
      </w:r>
      <w:r>
        <w:rPr>
          <w:rFonts w:ascii="仿宋" w:hAnsi="仿宋" w:eastAsia="仿宋" w:cs="仿宋"/>
          <w:spacing w:val="-86"/>
          <w:sz w:val="31"/>
          <w:szCs w:val="31"/>
        </w:rPr>
        <w:t>）</w:t>
      </w:r>
    </w:p>
    <w:sectPr>
      <w:footerReference r:id="rId12" w:type="default"/>
      <w:pgSz w:w="11906" w:h="16839"/>
      <w:pgMar w:top="1431" w:right="1785" w:bottom="400" w:left="1597" w:header="0" w:footer="992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/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5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ALOH3MgIAAGM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MAs4fc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/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5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/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5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LNJWO7QAAAABQEAAA8AAAAAAAAAAQAgAAAAOAAA&#10;AGRycy9kb3ducmV2LnhtbFBLAQIUABQAAAAIAIdO4kCChHYYMwIAAGMEAAAOAAAAAAAAAAEAIAAA&#10;ADUBAABkcnMvZTJvRG9jLnhtbFBLBQYAAAAABgAGAFkBAADa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2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/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5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2601595</wp:posOffset>
              </wp:positionH>
              <wp:positionV relativeFrom="paragraph">
                <wp:posOffset>0</wp:posOffset>
              </wp:positionV>
              <wp:extent cx="332740" cy="144145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740" cy="1441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eastAsia="宋体"/>
                              <w:sz w:val="21"/>
                              <w:szCs w:val="21"/>
                              <w:lang w:val="en-US" w:eastAsia="zh-CN"/>
                            </w:rPr>
                            <w:t>3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/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5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4.85pt;margin-top:0pt;height:11.35pt;width:26.2pt;mso-position-horizontal-relative:margin;z-index:251663360;mso-width-relative:page;mso-height-relative:page;" filled="f" stroked="f" coordsize="21600,21600" o:gfxdata="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U5MGTtYAAAAHAQAADwAAAAAA&#10;AAABACAAAAA4AAAAZHJzL2Rvd25yZXYueG1sUEsBAhQAFAAAAAgAh07iQPwE86M4AgAAYwQAAA4A&#10;AAAAAAAAAQAgAAAAOwEAAGRycy9lMm9Eb2MueG1sUEsFBgAAAAAGAAYAWQEAAOU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</w:pPr>
                    <w:r>
                      <w:rPr>
                        <w:rFonts w:hint="eastAsia" w:eastAsia="宋体"/>
                        <w:sz w:val="21"/>
                        <w:szCs w:val="21"/>
                        <w:lang w:val="en-US" w:eastAsia="zh-CN"/>
                      </w:rPr>
                      <w:t>3</w:t>
                    </w:r>
                    <w:r>
                      <w:rPr>
                        <w:sz w:val="21"/>
                        <w:szCs w:val="21"/>
                      </w:rPr>
                      <w:t xml:space="preserve">/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5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eastAsia="宋体"/>
                              <w:sz w:val="21"/>
                              <w:szCs w:val="21"/>
                              <w:lang w:val="en-US" w:eastAsia="zh-CN"/>
                            </w:rPr>
                            <w:t>4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/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5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LNJWO7QAAAABQEAAA8AAAAAAAAAAQAgAAAAOAAA&#10;AGRycy9kb3ducmV2LnhtbFBLAQIUABQAAAAIAIdO4kCPO0dyMwIAAGMEAAAOAAAAAAAAAAEAIAAA&#10;ADUBAABkcnMvZTJvRG9jLnhtbFBLBQYAAAAABgAGAFkBAADa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 w:eastAsia="宋体"/>
                        <w:sz w:val="21"/>
                        <w:szCs w:val="21"/>
                        <w:lang w:val="en-US" w:eastAsia="zh-CN"/>
                      </w:rPr>
                      <w:t>4</w:t>
                    </w:r>
                    <w:r>
                      <w:rPr>
                        <w:sz w:val="21"/>
                        <w:szCs w:val="21"/>
                      </w:rPr>
                      <w:t xml:space="preserve">/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5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C5WZn4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eastAsia="宋体"/>
                              <w:sz w:val="21"/>
                              <w:szCs w:val="21"/>
                              <w:lang w:val="en-US" w:eastAsia="zh-CN"/>
                            </w:rPr>
                            <w:t>5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/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5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LNJWO7QAAAABQEAAA8AAAAAAAAAAQAgAAAAOAAA&#10;AGRycy9kb3ducmV2LnhtbFBLAQIUABQAAAAIAIdO4kAFlvt6MwIAAGMEAAAOAAAAAAAAAAEAIAAA&#10;ADUBAABkcnMvZTJvRG9jLnhtbFBLBQYAAAAABgAGAFkBAADa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 w:eastAsia="宋体"/>
                        <w:sz w:val="21"/>
                        <w:szCs w:val="21"/>
                        <w:lang w:val="en-US" w:eastAsia="zh-CN"/>
                      </w:rPr>
                      <w:t>5</w:t>
                    </w:r>
                    <w:r>
                      <w:rPr>
                        <w:sz w:val="21"/>
                        <w:szCs w:val="21"/>
                      </w:rPr>
                      <w:t xml:space="preserve"> /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5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LNJWO7QAAAABQEAAA8AAAAAAAAAAQAgAAAAOAAA&#10;AGRycy9kb3ducmV2LnhtbFBLAQIUABQAAAAIAIdO4kAccrMBMwIAAGMEAAAOAAAAAAAAAAEAIAAA&#10;ADUBAABkcnMvZTJvRG9jLnhtbFBLBQYAAAAABgAGAFkBAADa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41F7C8D"/>
    <w:rsid w:val="17E366B2"/>
    <w:rsid w:val="40344FAF"/>
    <w:rsid w:val="46384B31"/>
    <w:rsid w:val="4A9F4D58"/>
    <w:rsid w:val="53035DE1"/>
    <w:rsid w:val="5E7FAB66"/>
    <w:rsid w:val="71D320E7"/>
    <w:rsid w:val="797158B5"/>
    <w:rsid w:val="7C8A4947"/>
    <w:rsid w:val="7F9EC808"/>
    <w:rsid w:val="ABDE58C7"/>
    <w:rsid w:val="EE5C2621"/>
    <w:rsid w:val="FD537C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2025-07-31T02:04:00Z</dcterms:created>
  <dc:creator>MC SYSTEM</dc:creator>
  <cp:lastModifiedBy>user</cp:lastModifiedBy>
  <dcterms:modified xsi:type="dcterms:W3CDTF">2025-09-09T10:23:39Z</dcterms:modified>
  <dc:title>厦财采〔2021〕9号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2025-08-18T10:21:04Z</vt:filetime>
  </property>
  <property fmtid="{D5CDD505-2E9C-101B-9397-08002B2CF9AE}" pid="4" name="KSOProductBuildVer">
    <vt:lpwstr>2052-11.8.2.10953</vt:lpwstr>
  </property>
  <property fmtid="{D5CDD505-2E9C-101B-9397-08002B2CF9AE}" pid="5" name="ICV">
    <vt:lpwstr>8E545204B172CC1175FDB868B078ACEF_43</vt:lpwstr>
  </property>
</Properties>
</file>